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475"/>
      <w:bookmarkStart w:id="3" w:name="_Toc15377193"/>
      <w:bookmarkStart w:id="4" w:name="_Toc32480"/>
      <w:bookmarkStart w:id="5" w:name="_Toc15377425"/>
      <w:bookmarkStart w:id="6"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bookmarkEnd w:id="0"/>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7" w:name="_Toc7023"/>
      <w:bookmarkStart w:id="8" w:name="_Toc15377194"/>
      <w:bookmarkStart w:id="9" w:name="_Toc15306268"/>
      <w:bookmarkStart w:id="10" w:name="_Toc15396476"/>
      <w:bookmarkStart w:id="11" w:name="_Toc15396598"/>
      <w:bookmarkStart w:id="12" w:name="_Toc15377426"/>
      <w:bookmarkStart w:id="13" w:name="_Toc15378442"/>
      <w:r>
        <w:rPr>
          <w:rFonts w:hint="eastAsia" w:ascii="方正小标宋简体" w:hAnsi="宋体" w:eastAsia="方正小标宋简体"/>
          <w:color w:val="000000"/>
          <w:sz w:val="72"/>
          <w:szCs w:val="72"/>
        </w:rPr>
        <w:t>四川省阿坝州自然资源与科技信息研究所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hint="eastAsia" w:ascii="仿宋_GB2312" w:eastAsia="仿宋_GB2312" w:cs="仿宋_GB2312"/>
          <w:sz w:val="32"/>
          <w:szCs w:val="32"/>
        </w:rPr>
      </w:pP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部门主要负责人审签情况：已审签，同意对外公开</w:t>
      </w: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rPr>
          <w:rFonts w:hint="eastAsia"/>
        </w:rPr>
      </w:pPr>
      <w:r>
        <w:rPr>
          <w:rFonts w:hint="eastAsia"/>
        </w:rPr>
        <w:t>公开时间：2020年9月</w:t>
      </w:r>
      <w:r>
        <w:t>2</w:t>
      </w:r>
      <w:r>
        <w:rPr>
          <w:rFonts w:hint="eastAsia"/>
          <w:lang w:val="en-US" w:eastAsia="zh-CN"/>
        </w:rPr>
        <w:t>8</w:t>
      </w:r>
      <w:r>
        <w:rPr>
          <w:rFonts w:hint="eastAsia"/>
        </w:rPr>
        <w:t>日</w:t>
      </w:r>
    </w:p>
    <w:p>
      <w:pPr>
        <w:rPr>
          <w:rFonts w:hint="eastAsia"/>
        </w:rPr>
      </w:pPr>
    </w:p>
    <w:p>
      <w:pPr>
        <w:rPr>
          <w:rFonts w:hint="eastAsia"/>
        </w:rPr>
      </w:pPr>
    </w:p>
    <w:sdt>
      <w:sdtPr>
        <w:rPr>
          <w:rFonts w:ascii="宋体" w:hAnsi="宋体" w:eastAsia="宋体" w:cs="Times New Roman"/>
          <w:kern w:val="2"/>
          <w:sz w:val="21"/>
          <w:szCs w:val="24"/>
          <w:lang w:val="en-US" w:eastAsia="zh-CN" w:bidi="ar-SA"/>
        </w:rPr>
        <w:id w:val="147460078"/>
        <w15:color w:val="DBDBDB"/>
        <w:docPartObj>
          <w:docPartGallery w:val="Table of Contents"/>
          <w:docPartUnique/>
        </w:docPartObj>
      </w:sdtPr>
      <w:sdtEndPr>
        <w:rPr>
          <w:rFonts w:hint="eastAsia" w:ascii="Times New Roman" w:hAnsi="Times New Roman" w:eastAsia="宋体" w:cs="Times New Roman"/>
          <w:b/>
          <w:kern w:val="2"/>
          <w:sz w:val="24"/>
          <w:szCs w:val="24"/>
          <w:lang w:val="en-US" w:eastAsia="zh-CN" w:bidi="ar-SA"/>
        </w:rPr>
      </w:sdtEndPr>
      <w:sdtContent>
        <w:p>
          <w:pPr>
            <w:pStyle w:val="31"/>
            <w:tabs>
              <w:tab w:val="right" w:leader="dot" w:pos="8306"/>
            </w:tabs>
            <w:rPr>
              <w:b/>
              <w:sz w:val="24"/>
              <w:szCs w:val="24"/>
            </w:rPr>
          </w:pPr>
          <w:r>
            <w:rPr>
              <w:rFonts w:hint="eastAsia"/>
              <w:sz w:val="24"/>
              <w:szCs w:val="24"/>
            </w:rPr>
            <w:fldChar w:fldCharType="begin"/>
          </w:r>
          <w:r>
            <w:rPr>
              <w:rFonts w:hint="eastAsia"/>
              <w:sz w:val="24"/>
              <w:szCs w:val="24"/>
            </w:rPr>
            <w:instrText xml:space="preserve">TOC \o "1-2" \h \u </w:instrText>
          </w:r>
          <w:r>
            <w:rPr>
              <w:rFonts w:hint="eastAsia"/>
              <w:sz w:val="24"/>
              <w:szCs w:val="24"/>
            </w:rPr>
            <w:fldChar w:fldCharType="separate"/>
          </w:r>
        </w:p>
        <w:p>
          <w:pPr>
            <w:pStyle w:val="31"/>
            <w:tabs>
              <w:tab w:val="right" w:leader="dot" w:pos="8306"/>
            </w:tabs>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HYPERLINK \l _Toc26112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 xml:space="preserve">第一部分 </w:t>
          </w:r>
          <w:r>
            <w:rPr>
              <w:rFonts w:hint="eastAsia" w:ascii="仿宋_GB2312" w:hAnsi="仿宋_GB2312" w:eastAsia="仿宋_GB2312" w:cs="仿宋_GB2312"/>
              <w:b/>
              <w:bCs w:val="0"/>
              <w:sz w:val="24"/>
              <w:szCs w:val="24"/>
            </w:rPr>
            <w:t>部门概况</w:t>
          </w:r>
          <w:r>
            <w:rPr>
              <w:rFonts w:hint="eastAsia" w:ascii="仿宋_GB2312" w:hAnsi="仿宋_GB2312" w:eastAsia="仿宋_GB2312" w:cs="仿宋_GB2312"/>
              <w:b/>
              <w:sz w:val="24"/>
              <w:szCs w:val="24"/>
            </w:rPr>
            <w:tab/>
          </w: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PAGEREF _Toc26112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3</w:t>
          </w:r>
          <w:r>
            <w:rPr>
              <w:rFonts w:hint="eastAsia" w:ascii="仿宋_GB2312" w:hAnsi="仿宋_GB2312" w:eastAsia="仿宋_GB2312" w:cs="仿宋_GB2312"/>
              <w:b/>
              <w:sz w:val="24"/>
              <w:szCs w:val="24"/>
            </w:rPr>
            <w:fldChar w:fldCharType="end"/>
          </w:r>
          <w:r>
            <w:rPr>
              <w:rFonts w:hint="eastAsia" w:ascii="仿宋_GB2312" w:hAnsi="仿宋_GB2312" w:eastAsia="仿宋_GB2312" w:cs="仿宋_GB2312"/>
              <w:b/>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_Toc18944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一、基</w:t>
          </w:r>
          <w:r>
            <w:rPr>
              <w:rFonts w:hint="eastAsia" w:ascii="仿宋_GB2312" w:hAnsi="仿宋_GB2312" w:eastAsia="仿宋_GB2312" w:cs="仿宋_GB2312"/>
              <w:bCs w:val="0"/>
              <w:sz w:val="24"/>
              <w:szCs w:val="24"/>
            </w:rPr>
            <w:t>本职能及主要工作</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_Toc18944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_Toc9618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二、机</w:t>
          </w:r>
          <w:r>
            <w:rPr>
              <w:rFonts w:hint="eastAsia" w:ascii="仿宋_GB2312" w:hAnsi="仿宋_GB2312" w:eastAsia="仿宋_GB2312" w:cs="仿宋_GB2312"/>
              <w:bCs w:val="0"/>
              <w:sz w:val="24"/>
              <w:szCs w:val="24"/>
            </w:rPr>
            <w:t>构设置</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_Toc9618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1"/>
            <w:tabs>
              <w:tab w:val="right" w:leader="dot" w:pos="8306"/>
            </w:tabs>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HYPERLINK \l _Toc17433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 xml:space="preserve">第二部分 </w:t>
          </w:r>
          <w:r>
            <w:rPr>
              <w:rFonts w:hint="eastAsia" w:ascii="仿宋_GB2312" w:hAnsi="仿宋_GB2312" w:eastAsia="仿宋_GB2312" w:cs="仿宋_GB2312"/>
              <w:b/>
              <w:bCs w:val="0"/>
              <w:sz w:val="24"/>
              <w:szCs w:val="24"/>
            </w:rPr>
            <w:t>2019年度部门决算情况说明</w:t>
          </w:r>
          <w:r>
            <w:rPr>
              <w:rFonts w:hint="eastAsia" w:ascii="仿宋_GB2312" w:hAnsi="仿宋_GB2312" w:eastAsia="仿宋_GB2312" w:cs="仿宋_GB2312"/>
              <w:b/>
              <w:sz w:val="24"/>
              <w:szCs w:val="24"/>
            </w:rPr>
            <w:tab/>
          </w: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PAGEREF _Toc17433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5</w:t>
          </w:r>
          <w:r>
            <w:rPr>
              <w:rFonts w:hint="eastAsia" w:ascii="仿宋_GB2312" w:hAnsi="仿宋_GB2312" w:eastAsia="仿宋_GB2312" w:cs="仿宋_GB2312"/>
              <w:b/>
              <w:sz w:val="24"/>
              <w:szCs w:val="24"/>
            </w:rPr>
            <w:fldChar w:fldCharType="end"/>
          </w:r>
          <w:r>
            <w:rPr>
              <w:rFonts w:hint="eastAsia" w:ascii="仿宋_GB2312" w:hAnsi="仿宋_GB2312" w:eastAsia="仿宋_GB2312" w:cs="仿宋_GB2312"/>
              <w:b/>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_Toc15614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一、 收入支出决算总体情况说明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_Toc15614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_Toc23629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二、 收入决算情况说明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_Toc23629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_Toc8340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三、 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_Toc8340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_Toc29898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四、财政拨款收入支出决算总体情况说明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_Toc29898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_Toc2940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五、一般公共预算财政拨款支出决算情况说明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_Toc2940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_Toc15896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六、一般公共预算财政拨款基本支出决算情况说明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_Toc15896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_Toc28700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七、“三公”经费财政拨款支出决算情况说明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_Toc28700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_Toc12986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八、政府性基金预算支出决算情况说明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_Toc12986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_Toc32341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九、 国有资本经营预算支出决算情况说明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_Toc32341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_Toc18640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十、其他重要事项的情况说明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_Toc18640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1"/>
            <w:tabs>
              <w:tab w:val="right" w:leader="dot" w:pos="8306"/>
            </w:tabs>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HYPERLINK \l _Toc27240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第三部分 名词解释</w:t>
          </w:r>
          <w:r>
            <w:rPr>
              <w:rFonts w:hint="eastAsia" w:ascii="仿宋_GB2312" w:hAnsi="仿宋_GB2312" w:eastAsia="仿宋_GB2312" w:cs="仿宋_GB2312"/>
              <w:b/>
              <w:sz w:val="24"/>
              <w:szCs w:val="24"/>
            </w:rPr>
            <w:tab/>
          </w: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PAGEREF _Toc27240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22</w:t>
          </w:r>
          <w:r>
            <w:rPr>
              <w:rFonts w:hint="eastAsia" w:ascii="仿宋_GB2312" w:hAnsi="仿宋_GB2312" w:eastAsia="仿宋_GB2312" w:cs="仿宋_GB2312"/>
              <w:b/>
              <w:sz w:val="24"/>
              <w:szCs w:val="24"/>
            </w:rPr>
            <w:fldChar w:fldCharType="end"/>
          </w:r>
          <w:r>
            <w:rPr>
              <w:rFonts w:hint="eastAsia" w:ascii="仿宋_GB2312" w:hAnsi="仿宋_GB2312" w:eastAsia="仿宋_GB2312" w:cs="仿宋_GB2312"/>
              <w:b/>
              <w:sz w:val="24"/>
              <w:szCs w:val="24"/>
            </w:rPr>
            <w:fldChar w:fldCharType="end"/>
          </w:r>
        </w:p>
        <w:p>
          <w:pPr>
            <w:pStyle w:val="31"/>
            <w:tabs>
              <w:tab w:val="right" w:leader="dot" w:pos="8306"/>
            </w:tabs>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HYPERLINK \l _Toc10170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第四部分 附件</w:t>
          </w:r>
          <w:r>
            <w:rPr>
              <w:rFonts w:hint="eastAsia" w:ascii="仿宋_GB2312" w:hAnsi="仿宋_GB2312" w:eastAsia="仿宋_GB2312" w:cs="仿宋_GB2312"/>
              <w:b/>
              <w:sz w:val="24"/>
              <w:szCs w:val="24"/>
            </w:rPr>
            <w:tab/>
          </w: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PAGEREF _Toc10170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26</w:t>
          </w:r>
          <w:r>
            <w:rPr>
              <w:rFonts w:hint="eastAsia" w:ascii="仿宋_GB2312" w:hAnsi="仿宋_GB2312" w:eastAsia="仿宋_GB2312" w:cs="仿宋_GB2312"/>
              <w:b/>
              <w:sz w:val="24"/>
              <w:szCs w:val="24"/>
            </w:rPr>
            <w:fldChar w:fldCharType="end"/>
          </w:r>
          <w:r>
            <w:rPr>
              <w:rFonts w:hint="eastAsia" w:ascii="仿宋_GB2312" w:hAnsi="仿宋_GB2312" w:eastAsia="仿宋_GB2312" w:cs="仿宋_GB2312"/>
              <w:b/>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_Toc23015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附件1</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_Toc23015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1"/>
            <w:tabs>
              <w:tab w:val="right" w:leader="dot" w:pos="8306"/>
            </w:tabs>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HYPERLINK \l _Toc21413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第五部分 附表</w:t>
          </w:r>
          <w:r>
            <w:rPr>
              <w:rFonts w:hint="eastAsia" w:ascii="仿宋_GB2312" w:hAnsi="仿宋_GB2312" w:eastAsia="仿宋_GB2312" w:cs="仿宋_GB2312"/>
              <w:b/>
              <w:sz w:val="24"/>
              <w:szCs w:val="24"/>
            </w:rPr>
            <w:tab/>
          </w:r>
          <w:r>
            <w:rPr>
              <w:rFonts w:hint="eastAsia" w:ascii="仿宋_GB2312" w:hAnsi="仿宋_GB2312" w:eastAsia="仿宋_GB2312" w:cs="仿宋_GB2312"/>
              <w:b/>
              <w:sz w:val="24"/>
              <w:szCs w:val="24"/>
            </w:rPr>
            <w:fldChar w:fldCharType="begin"/>
          </w:r>
          <w:r>
            <w:rPr>
              <w:rFonts w:hint="eastAsia" w:ascii="仿宋_GB2312" w:hAnsi="仿宋_GB2312" w:eastAsia="仿宋_GB2312" w:cs="仿宋_GB2312"/>
              <w:b/>
              <w:sz w:val="24"/>
              <w:szCs w:val="24"/>
            </w:rPr>
            <w:instrText xml:space="preserve"> PAGEREF _Toc21413 </w:instrText>
          </w:r>
          <w:r>
            <w:rPr>
              <w:rFonts w:hint="eastAsia" w:ascii="仿宋_GB2312" w:hAnsi="仿宋_GB2312" w:eastAsia="仿宋_GB2312" w:cs="仿宋_GB2312"/>
              <w:b/>
              <w:sz w:val="24"/>
              <w:szCs w:val="24"/>
            </w:rPr>
            <w:fldChar w:fldCharType="separate"/>
          </w:r>
          <w:r>
            <w:rPr>
              <w:rFonts w:hint="eastAsia" w:ascii="仿宋_GB2312" w:hAnsi="仿宋_GB2312" w:eastAsia="仿宋_GB2312" w:cs="仿宋_GB2312"/>
              <w:b/>
              <w:sz w:val="24"/>
              <w:szCs w:val="24"/>
            </w:rPr>
            <w:t>30</w:t>
          </w:r>
          <w:r>
            <w:rPr>
              <w:rFonts w:hint="eastAsia" w:ascii="仿宋_GB2312" w:hAnsi="仿宋_GB2312" w:eastAsia="仿宋_GB2312" w:cs="仿宋_GB2312"/>
              <w:b/>
              <w:sz w:val="24"/>
              <w:szCs w:val="24"/>
            </w:rPr>
            <w:fldChar w:fldCharType="end"/>
          </w:r>
          <w:r>
            <w:rPr>
              <w:rFonts w:hint="eastAsia" w:ascii="仿宋_GB2312" w:hAnsi="仿宋_GB2312" w:eastAsia="仿宋_GB2312" w:cs="仿宋_GB2312"/>
              <w:b/>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_Toc2444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一、收入支出决算总表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_Toc2444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_Toc17055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二、收入决算表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_Toc17055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_Toc31364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三、支出决算表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_Toc31364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_Toc3884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四、财政拨款收入支出决算总表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_Toc3884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_Toc11038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五、财政拨款支出决算明细表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_Toc11038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_Toc23736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六、一般公共预算财政拨款支出决算表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_Toc23736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_Toc15884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七、一般公共预算财政拨款支出决算明细表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_Toc15884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_Toc25686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八、一般公共预算财政拨款基本支出决算表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_Toc25686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_Toc19607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九、一般公共预算财政拨款项目支出决算表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_Toc19607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_Toc5286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十、一般公共预算财政拨款“三公”经费支出决算表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_Toc5286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_Toc17263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十一、政府性基金预算财政拨款收入支出决算表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_Toc17263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_Toc17895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十二、政府性基金预算财政拨款“三公”经费支出决算表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_Toc17895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2"/>
            <w:tabs>
              <w:tab w:val="right" w:leader="dot" w:pos="8306"/>
            </w:tabs>
            <w:rPr>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_Toc26365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十三、国有资本经营预算支出决算表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_Toc26365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rPr>
              <w:rFonts w:hint="eastAsia"/>
              <w:sz w:val="24"/>
              <w:szCs w:val="24"/>
            </w:rPr>
          </w:pPr>
          <w:r>
            <w:rPr>
              <w:rFonts w:hint="eastAsia"/>
              <w:b/>
              <w:sz w:val="24"/>
              <w:szCs w:val="24"/>
            </w:rPr>
            <w:fldChar w:fldCharType="end"/>
          </w:r>
          <w:bookmarkStart w:id="104" w:name="_GoBack"/>
          <w:bookmarkEnd w:id="104"/>
        </w:p>
      </w:sdtContent>
    </w:sdt>
    <w:p>
      <w:pPr>
        <w:pStyle w:val="2"/>
        <w:jc w:val="center"/>
        <w:rPr>
          <w:rStyle w:val="25"/>
          <w:rFonts w:ascii="黑体" w:hAnsi="黑体" w:eastAsia="黑体"/>
          <w:b/>
          <w:bCs w:val="0"/>
        </w:rPr>
      </w:pPr>
      <w:bookmarkStart w:id="14" w:name="_Toc15396599"/>
      <w:bookmarkStart w:id="15" w:name="_Toc15377196"/>
      <w:bookmarkStart w:id="16" w:name="_Toc26112"/>
      <w:r>
        <w:rPr>
          <w:rFonts w:hint="eastAsia" w:ascii="黑体" w:hAnsi="黑体" w:eastAsia="黑体"/>
          <w:b w:val="0"/>
        </w:rPr>
        <w:t xml:space="preserve">第一部分 </w:t>
      </w:r>
      <w:r>
        <w:rPr>
          <w:rStyle w:val="25"/>
          <w:rFonts w:hint="eastAsia" w:ascii="黑体" w:hAnsi="黑体" w:eastAsia="黑体"/>
          <w:b w:val="0"/>
          <w:bCs w:val="0"/>
        </w:rPr>
        <w:t>部门概况</w:t>
      </w:r>
      <w:bookmarkEnd w:id="14"/>
      <w:bookmarkEnd w:id="15"/>
      <w:bookmarkEnd w:id="16"/>
    </w:p>
    <w:p>
      <w:pPr>
        <w:pStyle w:val="3"/>
        <w:ind w:firstLine="640" w:firstLineChars="200"/>
        <w:rPr>
          <w:rStyle w:val="26"/>
          <w:rFonts w:ascii="仿宋" w:hAnsi="仿宋" w:eastAsia="仿宋"/>
          <w:b w:val="0"/>
          <w:bCs w:val="0"/>
        </w:rPr>
      </w:pPr>
      <w:bookmarkStart w:id="17" w:name="_Toc18944"/>
      <w:bookmarkStart w:id="18" w:name="_Toc15396600"/>
      <w:bookmarkStart w:id="19"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7"/>
      <w:bookmarkEnd w:id="18"/>
      <w:bookmarkEnd w:id="19"/>
    </w:p>
    <w:p>
      <w:pPr>
        <w:pStyle w:val="5"/>
        <w:adjustRightInd w:val="0"/>
        <w:snapToGrid w:val="0"/>
        <w:spacing w:before="93" w:line="600" w:lineRule="exact"/>
        <w:ind w:firstLine="640" w:firstLineChars="200"/>
        <w:outlineLvl w:val="2"/>
        <w:rPr>
          <w:rFonts w:hint="eastAsia" w:ascii="仿宋" w:hAnsi="仿宋" w:eastAsia="仿宋"/>
          <w:bCs/>
          <w:color w:val="000000"/>
          <w:sz w:val="32"/>
          <w:szCs w:val="32"/>
        </w:rPr>
      </w:pPr>
      <w:bookmarkStart w:id="20" w:name="_Toc15377198"/>
      <w:bookmarkStart w:id="21" w:name="_Toc15378445"/>
      <w:r>
        <w:rPr>
          <w:rFonts w:hint="eastAsia" w:ascii="仿宋" w:hAnsi="仿宋" w:eastAsia="仿宋"/>
          <w:bCs/>
          <w:color w:val="000000"/>
          <w:sz w:val="32"/>
          <w:szCs w:val="32"/>
        </w:rPr>
        <w:t>（一）主要职能。</w:t>
      </w:r>
      <w:bookmarkEnd w:id="20"/>
      <w:bookmarkEnd w:id="21"/>
      <w:bookmarkStart w:id="22" w:name="_Toc15378446"/>
      <w:bookmarkStart w:id="23" w:name="_Toc15377199"/>
    </w:p>
    <w:p>
      <w:pPr>
        <w:snapToGrid w:val="0"/>
        <w:spacing w:line="520" w:lineRule="exact"/>
        <w:ind w:firstLine="640" w:firstLineChars="200"/>
        <w:rPr>
          <w:rFonts w:hint="eastAsia" w:ascii="仿宋" w:hAnsi="仿宋" w:eastAsia="仿宋"/>
          <w:bCs/>
          <w:color w:val="000000"/>
          <w:sz w:val="32"/>
          <w:szCs w:val="32"/>
        </w:rPr>
      </w:pPr>
      <w:r>
        <w:rPr>
          <w:rFonts w:hint="eastAsia" w:ascii="仿宋_GB2312" w:hAnsi="仿宋_GB2312" w:eastAsia="仿宋_GB2312" w:cs="仿宋_GB2312"/>
          <w:sz w:val="32"/>
          <w:szCs w:val="32"/>
          <w:lang w:eastAsia="zh-CN"/>
        </w:rPr>
        <w:t>从事全州自然资源与科技信息研究，产品研发，成果技术转化、推广，技术咨询服务，为全州自然资源研究开发及科技信息产业发展服务；负责全州科技查新工作，为科研项目的立项，科技成果的鉴定、评估、验收、转化、奖励提供客观依据；负责《阿坝论坛》中“阿坝科技”专栏的编辑、出版工作;负责阿坝州科技企业孵化中心管理和运营，为科技创业者和科技型中小企业提供服务，促进科技成果转化，培育科技型企业和企业家。指导各县(市)科技企业孵化中心申报和管理工作；负责“阿坝州科技项目综合管理平台”的管理和维护，协助业务科室对科技项目闭环管理与跟踪服务；负责调查研究我州自然资源，提供相关服务；承担并实施国家、省、州相关科技课题。</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2"/>
      <w:bookmarkEnd w:id="23"/>
    </w:p>
    <w:p>
      <w:pPr>
        <w:snapToGrid w:val="0"/>
        <w:spacing w:line="520" w:lineRule="exact"/>
        <w:ind w:firstLine="640" w:firstLineChars="200"/>
        <w:rPr>
          <w:rFonts w:hint="eastAsia" w:ascii="仿宋_GB2312" w:eastAsia="仿宋_GB2312"/>
          <w:color w:val="auto"/>
          <w:sz w:val="32"/>
          <w:szCs w:val="32"/>
          <w:lang w:val="en-US" w:eastAsia="zh-CN"/>
        </w:rPr>
      </w:pPr>
      <w:bookmarkStart w:id="24" w:name="_Toc15396601"/>
      <w:bookmarkStart w:id="25" w:name="_Toc15377200"/>
      <w:r>
        <w:rPr>
          <w:rFonts w:hint="eastAsia" w:ascii="仿宋_GB2312" w:eastAsia="仿宋_GB2312"/>
          <w:sz w:val="32"/>
          <w:szCs w:val="32"/>
          <w:lang w:val="en-US" w:eastAsia="zh-CN"/>
        </w:rPr>
        <w:t>1.</w:t>
      </w:r>
      <w:r>
        <w:rPr>
          <w:rFonts w:hint="eastAsia" w:ascii="仿宋_GB2312" w:hAnsi="Times New Roman" w:eastAsia="仿宋_GB2312" w:cs="Times New Roman"/>
          <w:sz w:val="32"/>
          <w:szCs w:val="32"/>
          <w:lang w:eastAsia="zh-CN"/>
        </w:rPr>
        <w:t>科研工作，</w:t>
      </w:r>
      <w:r>
        <w:rPr>
          <w:rFonts w:hint="eastAsia" w:ascii="仿宋_GB2312" w:eastAsia="仿宋_GB2312"/>
          <w:sz w:val="32"/>
          <w:szCs w:val="32"/>
          <w:lang w:eastAsia="zh-CN"/>
        </w:rPr>
        <w:t>今年我所的科研工作成绩斐然，共</w:t>
      </w:r>
      <w:r>
        <w:rPr>
          <w:rFonts w:hint="eastAsia" w:ascii="仿宋_GB2312" w:eastAsia="仿宋_GB2312"/>
          <w:sz w:val="32"/>
          <w:szCs w:val="32"/>
        </w:rPr>
        <w:t>组织申报和实施科研项目9项，其中：立项4项，续研项目2项，新申报项目3项。“阿坝州城乡统筹综合信息服务子平台示范与研究”项目，取得计算机软件著作权登记证书</w:t>
      </w:r>
      <w:r>
        <w:rPr>
          <w:rFonts w:hint="eastAsia" w:ascii="仿宋_GB2312" w:eastAsia="仿宋_GB2312"/>
          <w:sz w:val="32"/>
          <w:szCs w:val="32"/>
          <w:lang w:eastAsia="zh-CN"/>
        </w:rPr>
        <w:t>。</w:t>
      </w:r>
      <w:r>
        <w:rPr>
          <w:rFonts w:hint="eastAsia" w:ascii="仿宋_GB2312" w:eastAsia="仿宋_GB2312"/>
          <w:color w:val="auto"/>
          <w:sz w:val="32"/>
          <w:szCs w:val="32"/>
          <w:lang w:val="en-US" w:eastAsia="zh-CN"/>
        </w:rPr>
        <w:t>撰写论文</w:t>
      </w:r>
      <w:r>
        <w:rPr>
          <w:rFonts w:hint="eastAsia" w:ascii="仿宋_GB2312" w:eastAsia="仿宋_GB2312"/>
          <w:color w:val="auto"/>
          <w:sz w:val="32"/>
          <w:szCs w:val="32"/>
        </w:rPr>
        <w:t>“基于互联网、大数据及智能终端环境,建设阿坝州农特产品信息服务平台的研究与实践”</w:t>
      </w:r>
      <w:r>
        <w:rPr>
          <w:rFonts w:hint="eastAsia" w:ascii="仿宋_GB2312" w:eastAsia="仿宋_GB2312"/>
          <w:color w:val="auto"/>
          <w:sz w:val="32"/>
          <w:szCs w:val="32"/>
          <w:lang w:eastAsia="zh-CN"/>
        </w:rPr>
        <w:t>，在</w:t>
      </w: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《现代农业科技》</w:t>
      </w:r>
      <w:r>
        <w:rPr>
          <w:rFonts w:hint="eastAsia" w:ascii="仿宋_GB2312" w:eastAsia="仿宋_GB2312"/>
          <w:color w:val="auto"/>
          <w:sz w:val="32"/>
          <w:szCs w:val="32"/>
          <w:lang w:eastAsia="zh-CN"/>
        </w:rPr>
        <w:t>杂志上刊登。</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2.孵化中心</w:t>
      </w:r>
      <w:r>
        <w:rPr>
          <w:rFonts w:hint="eastAsia" w:ascii="仿宋_GB2312" w:eastAsia="仿宋_GB2312"/>
          <w:sz w:val="32"/>
          <w:szCs w:val="32"/>
          <w:lang w:eastAsia="zh-CN"/>
        </w:rPr>
        <w:t>全</w:t>
      </w:r>
      <w:r>
        <w:rPr>
          <w:rFonts w:hint="eastAsia" w:ascii="仿宋_GB2312" w:eastAsia="仿宋_GB2312"/>
          <w:sz w:val="32"/>
          <w:szCs w:val="32"/>
        </w:rPr>
        <w:t>年毕业企业7家，新入孵企业10家，截止</w:t>
      </w:r>
      <w:r>
        <w:rPr>
          <w:rFonts w:hint="eastAsia" w:ascii="仿宋_GB2312" w:eastAsia="仿宋_GB2312"/>
          <w:sz w:val="32"/>
          <w:szCs w:val="32"/>
          <w:lang w:val="en-US" w:eastAsia="zh-CN"/>
        </w:rPr>
        <w:t>12月底</w:t>
      </w:r>
      <w:r>
        <w:rPr>
          <w:rFonts w:hint="eastAsia" w:ascii="仿宋_GB2312" w:eastAsia="仿宋_GB2312"/>
          <w:sz w:val="32"/>
          <w:szCs w:val="32"/>
        </w:rPr>
        <w:t>孵化中心入孵企业达50家，苗圃园区入驻大学生初创团队29个，提供就业岗位440个，年产值达138万元。</w:t>
      </w:r>
    </w:p>
    <w:p>
      <w:pPr>
        <w:ind w:firstLine="640" w:firstLineChars="200"/>
        <w:rPr>
          <w:rFonts w:hint="default" w:ascii="仿宋_GB2312" w:eastAsia="仿宋_GB2312"/>
          <w:color w:val="auto"/>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协助举办2019年度阿坝州大众创业、万众创新双创活动周；圆满承办了“科技情报机构支撑地方创新驱动发展战略认识与实践”2019年四川省科技情报学会地方情报工作研讨会，</w:t>
      </w:r>
      <w:r>
        <w:rPr>
          <w:rFonts w:hint="eastAsia" w:ascii="仿宋_GB2312" w:eastAsia="仿宋_GB2312"/>
          <w:sz w:val="32"/>
          <w:szCs w:val="32"/>
          <w:lang w:eastAsia="zh-CN"/>
        </w:rPr>
        <w:t>得到了省内各兄弟情报所同仁的一致好评。州信息研究所职工撰写的</w:t>
      </w:r>
      <w:r>
        <w:rPr>
          <w:rFonts w:hint="eastAsia" w:ascii="仿宋_GB2312" w:eastAsia="仿宋_GB2312"/>
          <w:color w:val="auto"/>
          <w:sz w:val="32"/>
          <w:szCs w:val="32"/>
          <w:lang w:val="en-US" w:eastAsia="zh-CN"/>
        </w:rPr>
        <w:t>“基于大数据分析与多源数据处理的自然灾害智能监测与预警系统建设构想”荣获得科技情报学会优秀论文二等奖。</w:t>
      </w:r>
    </w:p>
    <w:p>
      <w:pPr>
        <w:numPr>
          <w:ilvl w:val="0"/>
          <w:numId w:val="0"/>
        </w:numPr>
        <w:ind w:firstLine="640" w:firstLineChars="200"/>
        <w:rPr>
          <w:rFonts w:hint="eastAsia" w:ascii="仿宋_GB2312" w:eastAsia="仿宋_GB2312"/>
          <w:color w:val="auto"/>
          <w:sz w:val="32"/>
          <w:szCs w:val="32"/>
          <w:lang w:eastAsia="zh-CN"/>
        </w:rPr>
      </w:pPr>
      <w:r>
        <w:rPr>
          <w:rFonts w:hint="eastAsia" w:ascii="仿宋_GB2312" w:eastAsia="仿宋_GB2312"/>
          <w:sz w:val="32"/>
          <w:szCs w:val="32"/>
          <w:lang w:val="en-US" w:eastAsia="zh-CN"/>
        </w:rPr>
        <w:t>4.</w:t>
      </w:r>
      <w:r>
        <w:rPr>
          <w:rFonts w:hint="eastAsia" w:ascii="仿宋_GB2312" w:eastAsia="仿宋_GB2312"/>
          <w:color w:val="auto"/>
          <w:sz w:val="32"/>
          <w:szCs w:val="32"/>
          <w:lang w:val="en-US" w:eastAsia="zh-CN"/>
        </w:rPr>
        <w:t>2019年</w:t>
      </w:r>
      <w:r>
        <w:rPr>
          <w:rFonts w:hint="eastAsia" w:ascii="仿宋_GB2312" w:eastAsia="仿宋_GB2312"/>
          <w:color w:val="auto"/>
          <w:sz w:val="32"/>
          <w:szCs w:val="32"/>
        </w:rPr>
        <w:t>情报年会上</w:t>
      </w:r>
      <w:r>
        <w:rPr>
          <w:rFonts w:hint="eastAsia" w:ascii="仿宋_GB2312" w:eastAsia="仿宋_GB2312"/>
          <w:color w:val="auto"/>
          <w:sz w:val="32"/>
          <w:szCs w:val="32"/>
          <w:lang w:eastAsia="zh-CN"/>
        </w:rPr>
        <w:t>荣获四川省科技情报学会先进集体称号。</w:t>
      </w:r>
    </w:p>
    <w:p>
      <w:pPr>
        <w:pStyle w:val="3"/>
        <w:ind w:firstLine="640" w:firstLineChars="200"/>
        <w:rPr>
          <w:rStyle w:val="26"/>
          <w:b w:val="0"/>
          <w:bCs w:val="0"/>
        </w:rPr>
      </w:pPr>
      <w:bookmarkStart w:id="26" w:name="_Toc9618"/>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4"/>
      <w:bookmarkEnd w:id="25"/>
      <w:bookmarkEnd w:id="26"/>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本所隶属州科技局直属财政全额拨款事业单位，</w:t>
      </w:r>
      <w:r>
        <w:rPr>
          <w:rFonts w:hint="eastAsia" w:ascii="仿宋_GB2312" w:hAnsi="仿宋" w:eastAsia="仿宋_GB2312"/>
          <w:sz w:val="32"/>
          <w:szCs w:val="32"/>
          <w:lang w:eastAsia="zh-CN"/>
        </w:rPr>
        <w:t>是</w:t>
      </w:r>
      <w:r>
        <w:rPr>
          <w:rFonts w:hint="eastAsia" w:ascii="仿宋_GB2312" w:hAnsi="仿宋" w:eastAsia="仿宋_GB2312"/>
          <w:sz w:val="32"/>
          <w:szCs w:val="32"/>
        </w:rPr>
        <w:t>二级独立法人。</w:t>
      </w:r>
    </w:p>
    <w:p>
      <w:pPr>
        <w:spacing w:line="360" w:lineRule="auto"/>
        <w:ind w:firstLine="640" w:firstLineChars="200"/>
        <w:rPr>
          <w:rFonts w:hint="eastAsia" w:ascii="仿宋_GB2312" w:hAnsi="仿宋" w:eastAsia="仿宋_GB2312"/>
          <w:sz w:val="32"/>
          <w:szCs w:val="32"/>
        </w:rPr>
      </w:pPr>
    </w:p>
    <w:p>
      <w:pPr>
        <w:spacing w:line="360" w:lineRule="auto"/>
        <w:ind w:firstLine="640" w:firstLineChars="200"/>
        <w:rPr>
          <w:rFonts w:hint="eastAsia" w:ascii="仿宋_GB2312" w:hAnsi="仿宋" w:eastAsia="仿宋_GB2312"/>
          <w:sz w:val="32"/>
          <w:szCs w:val="32"/>
        </w:rPr>
      </w:pPr>
    </w:p>
    <w:p>
      <w:pPr>
        <w:spacing w:line="360" w:lineRule="auto"/>
        <w:ind w:firstLine="640" w:firstLineChars="200"/>
        <w:rPr>
          <w:rFonts w:hint="eastAsia" w:ascii="仿宋_GB2312" w:hAnsi="仿宋" w:eastAsia="仿宋_GB2312"/>
          <w:sz w:val="32"/>
          <w:szCs w:val="32"/>
        </w:rPr>
      </w:pPr>
    </w:p>
    <w:p>
      <w:pPr>
        <w:spacing w:line="360" w:lineRule="auto"/>
        <w:ind w:firstLine="640" w:firstLineChars="200"/>
        <w:rPr>
          <w:rFonts w:hint="eastAsia" w:ascii="仿宋_GB2312" w:hAnsi="仿宋" w:eastAsia="仿宋_GB2312"/>
          <w:sz w:val="32"/>
          <w:szCs w:val="32"/>
        </w:rPr>
      </w:pPr>
    </w:p>
    <w:p>
      <w:pPr>
        <w:spacing w:line="360" w:lineRule="auto"/>
        <w:ind w:firstLine="640" w:firstLineChars="200"/>
        <w:rPr>
          <w:rFonts w:hint="eastAsia" w:ascii="仿宋_GB2312" w:hAnsi="仿宋" w:eastAsia="仿宋_GB2312"/>
          <w:sz w:val="32"/>
          <w:szCs w:val="32"/>
        </w:rPr>
      </w:pPr>
    </w:p>
    <w:p>
      <w:pPr>
        <w:pStyle w:val="2"/>
        <w:ind w:right="440"/>
        <w:jc w:val="right"/>
        <w:rPr>
          <w:rStyle w:val="25"/>
          <w:rFonts w:ascii="黑体" w:hAnsi="黑体" w:eastAsia="黑体"/>
          <w:b w:val="0"/>
          <w:bCs w:val="0"/>
        </w:rPr>
      </w:pPr>
      <w:bookmarkStart w:id="27" w:name="_Toc15396602"/>
      <w:bookmarkStart w:id="28" w:name="_Toc17433"/>
      <w:bookmarkStart w:id="29"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7"/>
      <w:bookmarkEnd w:id="28"/>
      <w:bookmarkEnd w:id="29"/>
    </w:p>
    <w:p/>
    <w:p>
      <w:pPr>
        <w:pStyle w:val="24"/>
        <w:numPr>
          <w:ilvl w:val="0"/>
          <w:numId w:val="1"/>
        </w:numPr>
        <w:spacing w:line="600" w:lineRule="exact"/>
        <w:ind w:firstLineChars="0"/>
        <w:outlineLvl w:val="1"/>
        <w:rPr>
          <w:rStyle w:val="26"/>
          <w:rFonts w:ascii="黑体" w:hAnsi="黑体" w:eastAsia="黑体"/>
          <w:b w:val="0"/>
        </w:rPr>
      </w:pPr>
      <w:bookmarkStart w:id="30" w:name="_Toc15396603"/>
      <w:bookmarkStart w:id="31" w:name="_Toc15377205"/>
      <w:bookmarkStart w:id="32" w:name="_Toc15614"/>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30"/>
      <w:bookmarkEnd w:id="31"/>
      <w:bookmarkEnd w:id="32"/>
    </w:p>
    <w:p>
      <w:pPr>
        <w:widowControl/>
        <w:shd w:val="clear" w:color="auto" w:fill="FFFFFF"/>
        <w:spacing w:before="100" w:beforeAutospacing="1" w:after="100" w:afterAutospacing="1"/>
        <w:ind w:firstLine="640" w:firstLineChars="200"/>
        <w:jc w:val="left"/>
        <w:rPr>
          <w:rFonts w:hint="default" w:ascii="仿宋_GB2312" w:hAnsi="仿宋" w:eastAsia="仿宋_GB2312"/>
          <w:sz w:val="32"/>
          <w:szCs w:val="32"/>
          <w:highlight w:val="none"/>
          <w:lang w:val="en-US" w:eastAsia="zh-CN"/>
        </w:rPr>
      </w:pPr>
      <w:r>
        <w:rPr>
          <w:rFonts w:hint="eastAsia" w:ascii="仿宋" w:hAnsi="仿宋" w:eastAsia="仿宋"/>
          <w:color w:val="000000"/>
          <w:sz w:val="32"/>
          <w:szCs w:val="32"/>
          <w:lang w:eastAsia="zh-Hans"/>
        </w:rPr>
        <w:t xml:space="preserve"> </w:t>
      </w:r>
      <w:r>
        <w:rPr>
          <w:rFonts w:hint="eastAsia" w:ascii="仿宋_GB2312" w:hAnsi="仿宋" w:eastAsia="仿宋_GB2312" w:cs="Times New Roman"/>
          <w:sz w:val="32"/>
          <w:szCs w:val="32"/>
          <w:highlight w:val="none"/>
          <w:rtl w:val="0"/>
          <w:lang w:val="en-US" w:eastAsia="zh-Hans"/>
        </w:rPr>
        <w:t>2019年度收、支总计371.0</w:t>
      </w:r>
      <w:r>
        <w:rPr>
          <w:rFonts w:hint="eastAsia" w:ascii="仿宋_GB2312" w:hAnsi="仿宋" w:eastAsia="仿宋_GB2312" w:cs="Times New Roman"/>
          <w:sz w:val="32"/>
          <w:szCs w:val="32"/>
          <w:highlight w:val="none"/>
          <w:rtl w:val="0"/>
          <w:lang w:val="en-US" w:eastAsia="zh-CN"/>
        </w:rPr>
        <w:t>2</w:t>
      </w:r>
      <w:r>
        <w:rPr>
          <w:rFonts w:hint="eastAsia" w:ascii="仿宋_GB2312" w:hAnsi="仿宋" w:eastAsia="仿宋_GB2312" w:cs="Times New Roman"/>
          <w:sz w:val="32"/>
          <w:szCs w:val="32"/>
          <w:highlight w:val="none"/>
          <w:rtl w:val="0"/>
          <w:lang w:val="en-US" w:eastAsia="zh-Hans"/>
        </w:rPr>
        <w:t>万元。与2018年相比，收、支总计各增加 99.25万元，增长 36.52%。</w:t>
      </w:r>
      <w:r>
        <w:rPr>
          <w:rFonts w:hint="eastAsia" w:ascii="仿宋_GB2312" w:hAnsi="仿宋" w:eastAsia="仿宋_GB2312"/>
          <w:sz w:val="32"/>
          <w:szCs w:val="32"/>
          <w:highlight w:val="none"/>
          <w:lang w:eastAsia="zh-Hans"/>
        </w:rPr>
        <w:t>主要变动原因是</w:t>
      </w:r>
      <w:r>
        <w:rPr>
          <w:rFonts w:hint="eastAsia" w:ascii="仿宋_GB2312" w:hAnsi="仿宋" w:eastAsia="仿宋_GB2312"/>
          <w:sz w:val="32"/>
          <w:szCs w:val="32"/>
          <w:highlight w:val="none"/>
          <w:lang w:val="en-US" w:eastAsia="zh-CN"/>
        </w:rPr>
        <w:t>2019年科学技术支出支出较2018年201.29万元，增加86.14万元，增加额全是项目资金。</w:t>
      </w:r>
    </w:p>
    <w:p>
      <w:pPr>
        <w:spacing w:line="600" w:lineRule="exact"/>
        <w:ind w:firstLine="420" w:firstLineChars="200"/>
        <w:jc w:val="center"/>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3360" behindDoc="0" locked="0" layoutInCell="1" allowOverlap="1">
            <wp:simplePos x="0" y="0"/>
            <wp:positionH relativeFrom="column">
              <wp:posOffset>213360</wp:posOffset>
            </wp:positionH>
            <wp:positionV relativeFrom="paragraph">
              <wp:posOffset>30480</wp:posOffset>
            </wp:positionV>
            <wp:extent cx="5267960" cy="2409825"/>
            <wp:effectExtent l="0" t="0" r="5080" b="13335"/>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5267960" cy="2409825"/>
                    </a:xfrm>
                    <a:prstGeom prst="rect">
                      <a:avLst/>
                    </a:prstGeom>
                    <a:noFill/>
                    <a:ln>
                      <a:noFill/>
                    </a:ln>
                  </pic:spPr>
                </pic:pic>
              </a:graphicData>
            </a:graphic>
          </wp:anchor>
        </w:drawing>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spacing w:line="600" w:lineRule="exact"/>
        <w:jc w:val="left"/>
        <w:rPr>
          <w:rFonts w:ascii="仿宋_GB2312" w:eastAsia="仿宋_GB2312"/>
          <w:color w:val="00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33" w:name="_Toc23629"/>
      <w:bookmarkStart w:id="34" w:name="_Toc15377206"/>
      <w:bookmarkStart w:id="35"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33"/>
      <w:bookmarkEnd w:id="34"/>
      <w:bookmarkEnd w:id="35"/>
    </w:p>
    <w:p>
      <w:pPr>
        <w:widowControl/>
        <w:shd w:val="clear" w:color="auto" w:fill="FFFFFF"/>
        <w:spacing w:before="100" w:beforeAutospacing="1" w:after="100" w:afterAutospacing="1"/>
        <w:ind w:firstLine="640" w:firstLineChars="200"/>
        <w:jc w:val="left"/>
        <w:rPr>
          <w:rFonts w:hint="eastAsia" w:ascii="仿宋_GB2312" w:hAnsi="仿宋" w:eastAsia="仿宋_GB2312" w:cs="Times New Roman"/>
          <w:sz w:val="32"/>
          <w:szCs w:val="32"/>
          <w:highlight w:val="none"/>
          <w:rtl w:val="0"/>
          <w:lang w:val="en-US" w:eastAsia="zh-Hans"/>
        </w:rPr>
      </w:pPr>
      <w:r>
        <w:rPr>
          <w:rFonts w:hint="eastAsia" w:ascii="仿宋_GB2312" w:hAnsi="仿宋" w:eastAsia="仿宋_GB2312" w:cs="Times New Roman"/>
          <w:sz w:val="32"/>
          <w:szCs w:val="32"/>
          <w:highlight w:val="none"/>
          <w:rtl w:val="0"/>
          <w:lang w:val="en-US" w:eastAsia="zh-Hans"/>
        </w:rPr>
        <w:t>2019 年本年收入合计315.58万元，其中：一般公共预算财政拨款收入315.58万元，占 100.00%；政府性基金预算财政拨款收入0.00万元，占 0.00%；上级补助收入0.00万元，占 0.00%；事业收入0.00万元，占 0.00%；经营收入0.00万元，占 0.00%；附属单位上缴收入0.00万元，占 0.00%；其他收入0.00万元，占 0.00%。</w:t>
      </w:r>
    </w:p>
    <w:p>
      <w:pPr>
        <w:spacing w:line="600" w:lineRule="exact"/>
        <w:jc w:val="center"/>
        <w:outlineLvl w:val="1"/>
        <w:rPr>
          <w:rFonts w:ascii="仿宋_GB2312" w:eastAsia="仿宋_GB2312"/>
          <w:color w:val="FF0000"/>
          <w:sz w:val="32"/>
          <w:szCs w:val="32"/>
        </w:rPr>
      </w:pPr>
      <w:bookmarkStart w:id="36" w:name="_Toc2580"/>
      <w:r>
        <w:drawing>
          <wp:anchor distT="0" distB="0" distL="114300" distR="114300" simplePos="0" relativeHeight="251664384" behindDoc="0" locked="0" layoutInCell="1" allowOverlap="1">
            <wp:simplePos x="0" y="0"/>
            <wp:positionH relativeFrom="column">
              <wp:posOffset>-22225</wp:posOffset>
            </wp:positionH>
            <wp:positionV relativeFrom="paragraph">
              <wp:posOffset>635</wp:posOffset>
            </wp:positionV>
            <wp:extent cx="5269865" cy="2408555"/>
            <wp:effectExtent l="0" t="0" r="3175" b="14605"/>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7"/>
                    <a:stretch>
                      <a:fillRect/>
                    </a:stretch>
                  </pic:blipFill>
                  <pic:spPr>
                    <a:xfrm>
                      <a:off x="0" y="0"/>
                      <a:ext cx="5269865" cy="2408555"/>
                    </a:xfrm>
                    <a:prstGeom prst="rect">
                      <a:avLst/>
                    </a:prstGeom>
                    <a:noFill/>
                    <a:ln>
                      <a:noFill/>
                    </a:ln>
                  </pic:spPr>
                </pic:pic>
              </a:graphicData>
            </a:graphic>
          </wp:anchor>
        </w:drawing>
      </w:r>
      <w:r>
        <w:rPr>
          <w:rFonts w:hint="eastAsia" w:ascii="仿宋" w:hAnsi="仿宋" w:eastAsia="仿宋"/>
          <w:color w:val="000000" w:themeColor="text1"/>
          <w:sz w:val="32"/>
          <w:szCs w:val="32"/>
          <w14:textFill>
            <w14:solidFill>
              <w14:schemeClr w14:val="tx1"/>
            </w14:solidFill>
          </w14:textFill>
        </w:rPr>
        <w:t>图2：收入决算结构图</w:t>
      </w:r>
      <w:bookmarkEnd w:id="36"/>
    </w:p>
    <w:p>
      <w:pPr>
        <w:pStyle w:val="24"/>
        <w:numPr>
          <w:ilvl w:val="0"/>
          <w:numId w:val="1"/>
        </w:numPr>
        <w:spacing w:line="600" w:lineRule="exact"/>
        <w:ind w:firstLineChars="0"/>
        <w:outlineLvl w:val="1"/>
        <w:rPr>
          <w:rStyle w:val="26"/>
          <w:rFonts w:ascii="黑体" w:hAnsi="黑体" w:eastAsia="黑体"/>
          <w:b w:val="0"/>
        </w:rPr>
      </w:pPr>
      <w:bookmarkStart w:id="37" w:name="_Toc15396605"/>
      <w:bookmarkStart w:id="38" w:name="_Toc15377207"/>
      <w:bookmarkStart w:id="39" w:name="_Toc8340"/>
      <w:r>
        <w:rPr>
          <w:rFonts w:hint="eastAsia" w:ascii="黑体" w:hAnsi="黑体" w:eastAsia="黑体"/>
          <w:color w:val="000000"/>
          <w:sz w:val="32"/>
          <w:szCs w:val="32"/>
        </w:rPr>
        <w:t>支</w:t>
      </w:r>
      <w:r>
        <w:rPr>
          <w:rStyle w:val="26"/>
          <w:rFonts w:hint="eastAsia" w:ascii="黑体" w:hAnsi="黑体" w:eastAsia="黑体"/>
          <w:b w:val="0"/>
        </w:rPr>
        <w:t>出决算情况说明</w:t>
      </w:r>
      <w:bookmarkEnd w:id="37"/>
      <w:bookmarkEnd w:id="38"/>
      <w:bookmarkEnd w:id="39"/>
    </w:p>
    <w:p>
      <w:pPr>
        <w:widowControl/>
        <w:shd w:val="clear" w:color="auto" w:fill="FFFFFF"/>
        <w:spacing w:before="100" w:beforeAutospacing="1" w:after="100" w:afterAutospacing="1"/>
        <w:ind w:firstLine="640" w:firstLineChars="200"/>
        <w:jc w:val="center"/>
        <w:rPr>
          <w:rFonts w:ascii="仿宋_GB2312" w:eastAsia="仿宋_GB2312"/>
          <w:color w:val="FF0000"/>
          <w:sz w:val="32"/>
          <w:szCs w:val="32"/>
        </w:rPr>
      </w:pPr>
      <w:r>
        <w:rPr>
          <w:rFonts w:hint="eastAsia" w:ascii="仿宋_GB2312" w:hAnsi="仿宋" w:eastAsia="仿宋_GB2312" w:cs="Times New Roman"/>
          <w:sz w:val="32"/>
          <w:szCs w:val="32"/>
          <w:highlight w:val="none"/>
          <w:rtl w:val="0"/>
          <w:lang w:val="en-US" w:eastAsia="zh-Hans"/>
        </w:rPr>
        <w:t>2019 年本年支出合计327.49万元，其中：基本支出217.79万元，占 66.50%；项目支出109.70万元，占 33.50%；上缴上级支出0.00万元，占 0.00%；经营支出0.00万元，占 0.00%；对附属单位补助支出0.00万元，占 0.00%。</w:t>
      </w:r>
      <w:r>
        <w:drawing>
          <wp:inline distT="0" distB="0" distL="114300" distR="114300">
            <wp:extent cx="5269865" cy="2413000"/>
            <wp:effectExtent l="0" t="0" r="3175" b="1016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8"/>
                    <a:stretch>
                      <a:fillRect/>
                    </a:stretch>
                  </pic:blipFill>
                  <pic:spPr>
                    <a:xfrm>
                      <a:off x="0" y="0"/>
                      <a:ext cx="5269865" cy="2413000"/>
                    </a:xfrm>
                    <a:prstGeom prst="rect">
                      <a:avLst/>
                    </a:prstGeom>
                    <a:noFill/>
                    <a:ln>
                      <a:noFill/>
                    </a:ln>
                  </pic:spPr>
                </pic:pic>
              </a:graphicData>
            </a:graphic>
          </wp:inline>
        </w:drawing>
      </w: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outlineLvl w:val="1"/>
        <w:rPr>
          <w:rStyle w:val="26"/>
          <w:rFonts w:ascii="黑体" w:hAnsi="黑体" w:eastAsia="黑体"/>
          <w:b w:val="0"/>
        </w:rPr>
      </w:pPr>
      <w:bookmarkStart w:id="40" w:name="_Toc15377208"/>
      <w:bookmarkStart w:id="41" w:name="_Toc15396606"/>
      <w:bookmarkStart w:id="42" w:name="_Toc2989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40"/>
      <w:bookmarkEnd w:id="41"/>
      <w:bookmarkEnd w:id="42"/>
    </w:p>
    <w:p>
      <w:pPr>
        <w:widowControl/>
        <w:shd w:val="clear" w:color="auto" w:fill="FFFFFF"/>
        <w:spacing w:before="100" w:beforeAutospacing="1" w:after="100" w:afterAutospacing="1"/>
        <w:ind w:firstLine="640" w:firstLineChars="200"/>
        <w:jc w:val="left"/>
        <w:rPr>
          <w:rFonts w:hint="default" w:ascii="仿宋_GB2312" w:hAnsi="仿宋" w:eastAsia="仿宋_GB2312"/>
          <w:sz w:val="32"/>
          <w:szCs w:val="32"/>
          <w:highlight w:val="none"/>
          <w:lang w:val="en-US" w:eastAsia="zh-CN"/>
        </w:rPr>
      </w:pPr>
      <w:r>
        <w:rPr>
          <w:rFonts w:hint="eastAsia" w:ascii="仿宋_GB2312" w:hAnsi="仿宋" w:eastAsia="仿宋_GB2312" w:cs="Times New Roman"/>
          <w:sz w:val="32"/>
          <w:szCs w:val="32"/>
          <w:highlight w:val="none"/>
          <w:rtl w:val="0"/>
          <w:lang w:eastAsia="zh-Hans"/>
        </w:rPr>
        <w:t>2019 年财政拨款收、支总计占360.4</w:t>
      </w:r>
      <w:r>
        <w:rPr>
          <w:rFonts w:hint="eastAsia" w:ascii="仿宋_GB2312" w:hAnsi="仿宋" w:eastAsia="仿宋_GB2312" w:cs="Times New Roman"/>
          <w:sz w:val="32"/>
          <w:szCs w:val="32"/>
          <w:highlight w:val="none"/>
          <w:rtl w:val="0"/>
          <w:lang w:val="en-US" w:eastAsia="zh-CN"/>
        </w:rPr>
        <w:t>7</w:t>
      </w:r>
      <w:r>
        <w:rPr>
          <w:rFonts w:hint="eastAsia" w:ascii="仿宋_GB2312" w:hAnsi="仿宋" w:eastAsia="仿宋_GB2312" w:cs="Times New Roman"/>
          <w:sz w:val="32"/>
          <w:szCs w:val="32"/>
          <w:highlight w:val="none"/>
          <w:rtl w:val="0"/>
          <w:lang w:eastAsia="zh-Hans"/>
        </w:rPr>
        <w:t>万元。与2018年相比，财政拨款收、支总计各增加</w:t>
      </w:r>
      <w:r>
        <w:rPr>
          <w:rFonts w:hint="eastAsia" w:ascii="仿宋_GB2312" w:hAnsi="仿宋" w:eastAsia="仿宋_GB2312" w:cs="Times New Roman"/>
          <w:sz w:val="32"/>
          <w:szCs w:val="32"/>
          <w:highlight w:val="none"/>
          <w:rtl w:val="0"/>
          <w:lang w:val="en-US" w:eastAsia="zh-CN"/>
        </w:rPr>
        <w:t>99.79</w:t>
      </w:r>
      <w:r>
        <w:rPr>
          <w:rFonts w:hint="eastAsia" w:ascii="仿宋_GB2312" w:hAnsi="仿宋" w:eastAsia="仿宋_GB2312" w:cs="Times New Roman"/>
          <w:sz w:val="32"/>
          <w:szCs w:val="32"/>
          <w:highlight w:val="none"/>
          <w:rtl w:val="0"/>
          <w:lang w:eastAsia="zh-Hans"/>
        </w:rPr>
        <w:t>万元，增长</w:t>
      </w:r>
      <w:r>
        <w:rPr>
          <w:rFonts w:hint="eastAsia" w:ascii="仿宋_GB2312" w:hAnsi="仿宋" w:eastAsia="仿宋_GB2312" w:cs="Times New Roman"/>
          <w:sz w:val="32"/>
          <w:szCs w:val="32"/>
          <w:highlight w:val="none"/>
          <w:rtl w:val="0"/>
          <w:lang w:val="en-US" w:eastAsia="zh-CN"/>
        </w:rPr>
        <w:t>38.28</w:t>
      </w:r>
      <w:r>
        <w:rPr>
          <w:rFonts w:hint="eastAsia" w:ascii="仿宋_GB2312" w:hAnsi="仿宋" w:eastAsia="仿宋_GB2312" w:cs="Times New Roman"/>
          <w:sz w:val="32"/>
          <w:szCs w:val="32"/>
          <w:highlight w:val="none"/>
          <w:rtl w:val="0"/>
          <w:lang w:eastAsia="zh-Hans"/>
        </w:rPr>
        <w:t>%。</w:t>
      </w:r>
      <w:r>
        <w:rPr>
          <w:rFonts w:hint="eastAsia" w:ascii="仿宋_GB2312" w:hAnsi="仿宋" w:eastAsia="仿宋_GB2312"/>
          <w:sz w:val="32"/>
          <w:szCs w:val="32"/>
          <w:highlight w:val="none"/>
          <w:lang w:eastAsia="zh-Hans"/>
        </w:rPr>
        <w:t>主要变动原因是主要变动原因是</w:t>
      </w:r>
      <w:r>
        <w:rPr>
          <w:rFonts w:hint="eastAsia" w:ascii="仿宋_GB2312" w:hAnsi="仿宋" w:eastAsia="仿宋_GB2312"/>
          <w:sz w:val="32"/>
          <w:szCs w:val="32"/>
          <w:highlight w:val="none"/>
          <w:lang w:val="en-US" w:eastAsia="zh-CN"/>
        </w:rPr>
        <w:t>2019年科学技术支出支出较2018年201.07万元，增加75.81万元，增加额大部分为项目资金。</w:t>
      </w:r>
    </w:p>
    <w:p>
      <w:pPr>
        <w:widowControl/>
        <w:shd w:val="clear" w:color="auto" w:fill="FFFFFF"/>
        <w:spacing w:before="100" w:beforeAutospacing="1" w:after="100" w:afterAutospacing="1"/>
        <w:ind w:firstLine="420" w:firstLineChars="200"/>
        <w:jc w:val="center"/>
        <w:rPr>
          <w:rFonts w:ascii="仿宋" w:hAnsi="仿宋" w:eastAsia="仿宋"/>
          <w:b/>
          <w:color w:val="00B050"/>
          <w:sz w:val="32"/>
          <w:szCs w:val="32"/>
        </w:rPr>
      </w:pPr>
      <w:r>
        <w:drawing>
          <wp:inline distT="0" distB="0" distL="114300" distR="114300">
            <wp:extent cx="5267960" cy="2409825"/>
            <wp:effectExtent l="0" t="0" r="5080" b="1333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9"/>
                    <a:stretch>
                      <a:fillRect/>
                    </a:stretch>
                  </pic:blipFill>
                  <pic:spPr>
                    <a:xfrm>
                      <a:off x="0" y="0"/>
                      <a:ext cx="5267960" cy="2409825"/>
                    </a:xfrm>
                    <a:prstGeom prst="rect">
                      <a:avLst/>
                    </a:prstGeom>
                    <a:noFill/>
                    <a:ln>
                      <a:noFill/>
                    </a:ln>
                  </pic:spPr>
                </pic:pic>
              </a:graphicData>
            </a:graphic>
          </wp:inline>
        </w:drawing>
      </w:r>
      <w:r>
        <w:rPr>
          <w:rFonts w:hint="eastAsia" w:ascii="仿宋" w:hAnsi="仿宋" w:eastAsia="仿宋"/>
          <w:color w:val="000000" w:themeColor="text1"/>
          <w:sz w:val="32"/>
          <w:szCs w:val="32"/>
          <w14:textFill>
            <w14:solidFill>
              <w14:schemeClr w14:val="tx1"/>
            </w14:solidFill>
          </w14:textFill>
        </w:rPr>
        <w:t>图4：财政拨款收、支决算总计变动情况</w:t>
      </w:r>
    </w:p>
    <w:p>
      <w:pPr>
        <w:spacing w:line="600" w:lineRule="exact"/>
        <w:ind w:firstLine="640" w:firstLineChars="200"/>
        <w:outlineLvl w:val="1"/>
        <w:rPr>
          <w:rStyle w:val="26"/>
          <w:rFonts w:ascii="黑体" w:hAnsi="黑体" w:eastAsia="黑体"/>
          <w:b w:val="0"/>
        </w:rPr>
      </w:pPr>
      <w:bookmarkStart w:id="43" w:name="_Toc15396607"/>
      <w:bookmarkStart w:id="44" w:name="_Toc15377209"/>
      <w:bookmarkStart w:id="45" w:name="_Toc2940"/>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43"/>
      <w:bookmarkEnd w:id="44"/>
      <w:bookmarkEnd w:id="45"/>
    </w:p>
    <w:p>
      <w:pPr>
        <w:spacing w:line="600" w:lineRule="exact"/>
        <w:ind w:firstLine="643"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widowControl/>
        <w:shd w:val="clear" w:color="auto" w:fill="FFFFFF"/>
        <w:spacing w:before="100" w:beforeAutospacing="1" w:after="100" w:afterAutospacing="1"/>
        <w:ind w:firstLine="640" w:firstLineChars="200"/>
        <w:jc w:val="left"/>
        <w:rPr>
          <w:rFonts w:hint="default" w:ascii="仿宋_GB2312" w:hAnsi="仿宋" w:eastAsia="仿宋_GB2312"/>
          <w:sz w:val="32"/>
          <w:szCs w:val="32"/>
          <w:highlight w:val="none"/>
          <w:lang w:val="en-US" w:eastAsia="zh-CN"/>
        </w:rPr>
      </w:pPr>
      <w:r>
        <w:rPr>
          <w:rFonts w:hint="eastAsia" w:ascii="仿宋_GB2312" w:hAnsi="仿宋" w:eastAsia="仿宋_GB2312" w:cs="Times New Roman"/>
          <w:sz w:val="32"/>
          <w:szCs w:val="32"/>
          <w:highlight w:val="none"/>
          <w:rtl w:val="0"/>
          <w:lang w:val="en-US" w:eastAsia="zh-CN"/>
        </w:rPr>
        <w:t>2019 年一般公共预算财政拨款支出316.94万元，占本年支出合计的 96.78%。与2018年相比，一般公共预算财政拨款增加 58.72万元，增长22.74%。</w:t>
      </w:r>
      <w:r>
        <w:rPr>
          <w:rFonts w:hint="eastAsia" w:ascii="仿宋_GB2312" w:hAnsi="仿宋" w:eastAsia="仿宋_GB2312"/>
          <w:sz w:val="32"/>
          <w:szCs w:val="32"/>
          <w:highlight w:val="none"/>
          <w:lang w:eastAsia="zh-Hans"/>
        </w:rPr>
        <w:t>主要变动原因是</w:t>
      </w:r>
      <w:r>
        <w:rPr>
          <w:rFonts w:hint="eastAsia" w:ascii="仿宋_GB2312" w:hAnsi="仿宋" w:eastAsia="仿宋_GB2312"/>
          <w:sz w:val="32"/>
          <w:szCs w:val="32"/>
          <w:highlight w:val="none"/>
          <w:lang w:val="en-US" w:eastAsia="zh-CN"/>
        </w:rPr>
        <w:t>2019年项目支出较2018年62.87万元，增加36.28万元。</w:t>
      </w:r>
    </w:p>
    <w:p>
      <w:pPr>
        <w:spacing w:line="600" w:lineRule="exact"/>
        <w:ind w:firstLine="420" w:firstLineChars="200"/>
        <w:jc w:val="center"/>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5408" behindDoc="0" locked="0" layoutInCell="1" allowOverlap="1">
            <wp:simplePos x="0" y="0"/>
            <wp:positionH relativeFrom="column">
              <wp:posOffset>-7620</wp:posOffset>
            </wp:positionH>
            <wp:positionV relativeFrom="paragraph">
              <wp:posOffset>30480</wp:posOffset>
            </wp:positionV>
            <wp:extent cx="5269865" cy="2408555"/>
            <wp:effectExtent l="0" t="0" r="3175" b="14605"/>
            <wp:wrapSquare wrapText="bothSides"/>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0"/>
                    <a:stretch>
                      <a:fillRect/>
                    </a:stretch>
                  </pic:blipFill>
                  <pic:spPr>
                    <a:xfrm>
                      <a:off x="0" y="0"/>
                      <a:ext cx="5269865" cy="2408555"/>
                    </a:xfrm>
                    <a:prstGeom prst="rect">
                      <a:avLst/>
                    </a:prstGeom>
                    <a:noFill/>
                    <a:ln>
                      <a:noFill/>
                    </a:ln>
                  </pic:spPr>
                </pic:pic>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3" w:firstLineChars="200"/>
        <w:outlineLvl w:val="9"/>
        <w:rPr>
          <w:rFonts w:hint="eastAsia" w:ascii="仿宋" w:hAnsi="仿宋" w:eastAsia="仿宋"/>
          <w:b/>
          <w:color w:val="000000"/>
          <w:sz w:val="32"/>
          <w:szCs w:val="32"/>
        </w:rPr>
      </w:pPr>
      <w:bookmarkStart w:id="47"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47"/>
    </w:p>
    <w:p>
      <w:pPr>
        <w:widowControl/>
        <w:shd w:val="clear" w:color="auto" w:fill="FFFFFF"/>
        <w:spacing w:before="100" w:beforeAutospacing="1" w:after="100" w:afterAutospacing="1"/>
        <w:ind w:firstLine="480" w:firstLineChars="200"/>
        <w:jc w:val="left"/>
        <w:rPr>
          <w:rStyle w:val="15"/>
          <w:rFonts w:hint="eastAsia" w:ascii="仿宋_GB2312" w:hAnsi="仿宋" w:eastAsia="仿宋_GB2312" w:cs="Times New Roman"/>
          <w:b w:val="0"/>
          <w:bCs/>
          <w:color w:val="000000"/>
          <w:sz w:val="32"/>
          <w:szCs w:val="32"/>
          <w:rtl w:val="0"/>
        </w:rPr>
      </w:pPr>
      <w:r>
        <w:rPr>
          <w:rStyle w:val="14"/>
          <w:rFonts w:ascii="仿宋_GB2312" w:hAnsi="仿宋_GB2312" w:eastAsia="仿宋_GB2312" w:cs="仿宋_GB2312"/>
          <w:sz w:val="24"/>
          <w:szCs w:val="24"/>
          <w:rtl w:val="0"/>
        </w:rPr>
        <w:t xml:space="preserve"> </w:t>
      </w:r>
      <w:r>
        <w:rPr>
          <w:rStyle w:val="15"/>
          <w:rFonts w:hint="eastAsia" w:ascii="仿宋_GB2312" w:hAnsi="仿宋" w:eastAsia="仿宋_GB2312" w:cs="Times New Roman"/>
          <w:b w:val="0"/>
          <w:bCs/>
          <w:color w:val="000000"/>
          <w:sz w:val="32"/>
          <w:szCs w:val="32"/>
          <w:rtl w:val="0"/>
        </w:rPr>
        <w:t>2019年一般公共预算财政拨款支出316.94万元，主要用于以下方面:一般公共服务（类）支出0.00万元，占0.00%；外交支出（类）0.00万元，占0.00%，国防支出（类）0.00万元，占0.00%；公共安全支出（类）0.00万元，占0.00%；教育支出（类）0.00万元，占0.00%；科学技术（类）支出276.88万元，占87.36%；文化旅游体育与传媒（类）支出0.00万元，占0.00%；社会保障和就业（类）支出19.00万元，占5.99%；卫生健康支出（类）9.20万元，占2.90%%；节能环保支出（类）0.00万元，占0.00%；城乡社区支出（类）0.00万元，占0.00%；农林水支出（类）0.00万元，占0.00%；交通运输支出（类）0.00万元，占0.00%；资源勘探信息等支出（类）0.00万元，占0.00%；商业服务业等支出（类）0.00万元，占0.00%；金融支出（类）0.00万元，占0.00%；援助其他地区支出（类）0.00万元，占0.00%；自然资源海洋气象等支出（类）0.00万元，占0.00%；住房保障支出（类）11.86万元，占3.74%；粮油物资储备支出（类）0.00万元，占0.00%；灾害防治及应急管理支出（类）0.00万元，占0.00%；其他支出（类）0.00万元，占0.00%；债务还本支出（类）0.00万元，占0.00%；债务付息支出（类）0.00万元，占0.00%。</w:t>
      </w:r>
    </w:p>
    <w:p>
      <w:pPr>
        <w:widowControl/>
        <w:shd w:val="clear" w:color="auto" w:fill="FFFFFF"/>
        <w:spacing w:before="100" w:beforeAutospacing="1" w:after="100" w:afterAutospacing="1"/>
        <w:ind w:firstLine="420" w:firstLineChars="200"/>
        <w:jc w:val="center"/>
        <w:rPr>
          <w:rFonts w:ascii="仿宋" w:hAnsi="仿宋" w:eastAsia="仿宋"/>
          <w:color w:val="000000"/>
          <w:sz w:val="32"/>
          <w:szCs w:val="32"/>
        </w:rPr>
      </w:pPr>
      <w:r>
        <w:drawing>
          <wp:inline distT="0" distB="0" distL="114300" distR="114300">
            <wp:extent cx="5267960" cy="2409825"/>
            <wp:effectExtent l="0" t="0" r="5080" b="13335"/>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1"/>
                    <a:stretch>
                      <a:fillRect/>
                    </a:stretch>
                  </pic:blipFill>
                  <pic:spPr>
                    <a:xfrm>
                      <a:off x="0" y="0"/>
                      <a:ext cx="5267960" cy="2409825"/>
                    </a:xfrm>
                    <a:prstGeom prst="rect">
                      <a:avLst/>
                    </a:prstGeom>
                    <a:noFill/>
                    <a:ln>
                      <a:noFill/>
                    </a:ln>
                  </pic:spPr>
                </pic:pic>
              </a:graphicData>
            </a:graphic>
          </wp:inline>
        </w:drawing>
      </w:r>
      <w:r>
        <w:rPr>
          <w:rFonts w:hint="eastAsia" w:ascii="仿宋" w:hAnsi="仿宋" w:eastAsia="仿宋"/>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48" w:name="_Toc15377212"/>
      <w:r>
        <w:rPr>
          <w:rFonts w:hint="eastAsia" w:ascii="仿宋" w:hAnsi="仿宋" w:eastAsia="仿宋"/>
          <w:b/>
          <w:color w:val="000000"/>
          <w:sz w:val="32"/>
          <w:szCs w:val="32"/>
        </w:rPr>
        <w:t>（三）一般公共预算财政拨款支出决算具体情况</w:t>
      </w:r>
      <w:bookmarkEnd w:id="48"/>
    </w:p>
    <w:p>
      <w:pPr>
        <w:snapToGrid w:val="0"/>
        <w:spacing w:line="520" w:lineRule="exact"/>
        <w:ind w:firstLine="643" w:firstLineChars="200"/>
        <w:rPr>
          <w:rStyle w:val="15"/>
          <w:rFonts w:ascii="仿宋_GB2312" w:hAnsi="仿宋" w:eastAsia="仿宋_GB2312"/>
          <w:sz w:val="32"/>
          <w:szCs w:val="32"/>
        </w:rPr>
      </w:pPr>
      <w:r>
        <w:rPr>
          <w:rStyle w:val="15"/>
          <w:rFonts w:ascii="仿宋_GB2312" w:hAnsi="仿宋" w:eastAsia="仿宋_GB2312"/>
          <w:sz w:val="32"/>
          <w:szCs w:val="32"/>
          <w:rtl w:val="0"/>
        </w:rPr>
        <w:t>2019年一般公共预算支出决算数为316.94，完成预算87.92%。其中：</w:t>
      </w:r>
    </w:p>
    <w:p>
      <w:pPr>
        <w:snapToGrid w:val="0"/>
        <w:spacing w:line="520" w:lineRule="exact"/>
        <w:ind w:firstLine="643" w:firstLineChars="200"/>
        <w:rPr>
          <w:rStyle w:val="15"/>
          <w:rFonts w:ascii="仿宋_GB2312" w:hAnsi="仿宋" w:eastAsia="仿宋_GB2312"/>
          <w:b w:val="0"/>
          <w:bCs/>
          <w:color w:val="000000"/>
          <w:sz w:val="32"/>
          <w:szCs w:val="32"/>
        </w:rPr>
      </w:pPr>
      <w:r>
        <w:rPr>
          <w:rStyle w:val="15"/>
          <w:rFonts w:ascii="仿宋_GB2312" w:hAnsi="仿宋" w:eastAsia="仿宋_GB2312"/>
          <w:sz w:val="32"/>
          <w:szCs w:val="32"/>
        </w:rPr>
        <w:t>1.</w:t>
      </w:r>
      <w:r>
        <w:rPr>
          <w:rStyle w:val="15"/>
          <w:rFonts w:hint="eastAsia" w:ascii="仿宋_GB2312" w:hAnsi="仿宋" w:eastAsia="仿宋_GB2312"/>
          <w:sz w:val="32"/>
          <w:szCs w:val="32"/>
        </w:rPr>
        <w:t>科学技术支出（类）应用研究（款）机构运行（项）</w:t>
      </w:r>
      <w:r>
        <w:rPr>
          <w:rStyle w:val="15"/>
          <w:rFonts w:ascii="仿宋_GB2312" w:hAnsi="仿宋" w:eastAsia="仿宋_GB2312"/>
          <w:sz w:val="32"/>
          <w:szCs w:val="32"/>
        </w:rPr>
        <w:t>:</w:t>
      </w:r>
      <w:r>
        <w:rPr>
          <w:rStyle w:val="15"/>
          <w:rFonts w:hint="eastAsia" w:ascii="仿宋_GB2312" w:hAnsi="仿宋" w:eastAsia="仿宋_GB2312"/>
          <w:b w:val="0"/>
          <w:bCs/>
          <w:color w:val="000000"/>
          <w:sz w:val="32"/>
          <w:szCs w:val="32"/>
        </w:rPr>
        <w:t>支出决算为</w:t>
      </w:r>
      <w:r>
        <w:rPr>
          <w:rStyle w:val="15"/>
          <w:rFonts w:hint="eastAsia" w:ascii="仿宋_GB2312" w:hAnsi="仿宋" w:eastAsia="仿宋_GB2312"/>
          <w:b w:val="0"/>
          <w:bCs/>
          <w:color w:val="000000"/>
          <w:sz w:val="32"/>
          <w:szCs w:val="32"/>
          <w:lang w:val="en-US" w:eastAsia="zh-CN"/>
        </w:rPr>
        <w:t>177.73</w:t>
      </w:r>
      <w:r>
        <w:rPr>
          <w:rStyle w:val="15"/>
          <w:rFonts w:hint="eastAsia" w:ascii="仿宋_GB2312" w:hAnsi="仿宋" w:eastAsia="仿宋_GB2312"/>
          <w:b w:val="0"/>
          <w:bCs/>
          <w:color w:val="000000"/>
          <w:sz w:val="32"/>
          <w:szCs w:val="32"/>
        </w:rPr>
        <w:t>万元，完成预算</w:t>
      </w:r>
      <w:r>
        <w:rPr>
          <w:rStyle w:val="15"/>
          <w:rFonts w:hint="eastAsia" w:ascii="仿宋_GB2312" w:hAnsi="仿宋" w:eastAsia="仿宋_GB2312"/>
          <w:b w:val="0"/>
          <w:bCs/>
          <w:color w:val="000000"/>
          <w:sz w:val="32"/>
          <w:szCs w:val="32"/>
          <w:lang w:val="en-US" w:eastAsia="zh-CN"/>
        </w:rPr>
        <w:t>100</w:t>
      </w:r>
      <w:r>
        <w:rPr>
          <w:rStyle w:val="15"/>
          <w:rFonts w:ascii="仿宋_GB2312" w:hAnsi="仿宋" w:eastAsia="仿宋_GB2312"/>
          <w:b w:val="0"/>
          <w:bCs/>
          <w:color w:val="000000"/>
          <w:sz w:val="32"/>
          <w:szCs w:val="32"/>
        </w:rPr>
        <w:t>%</w:t>
      </w:r>
      <w:r>
        <w:rPr>
          <w:rFonts w:hint="eastAsia" w:ascii="仿宋_GB2312" w:hAnsi="仿宋" w:eastAsia="仿宋_GB2312"/>
          <w:sz w:val="32"/>
          <w:szCs w:val="32"/>
        </w:rPr>
        <w:t>。</w:t>
      </w:r>
    </w:p>
    <w:p>
      <w:pPr>
        <w:snapToGrid w:val="0"/>
        <w:spacing w:line="520" w:lineRule="exact"/>
        <w:ind w:firstLine="643" w:firstLineChars="200"/>
        <w:rPr>
          <w:rStyle w:val="15"/>
          <w:rFonts w:ascii="仿宋_GB2312" w:hAnsi="仿宋" w:eastAsia="仿宋_GB2312"/>
          <w:b w:val="0"/>
          <w:bCs/>
          <w:sz w:val="32"/>
          <w:szCs w:val="32"/>
        </w:rPr>
      </w:pPr>
      <w:r>
        <w:rPr>
          <w:rStyle w:val="15"/>
          <w:rFonts w:ascii="仿宋_GB2312" w:hAnsi="仿宋" w:eastAsia="仿宋_GB2312"/>
          <w:sz w:val="32"/>
          <w:szCs w:val="32"/>
        </w:rPr>
        <w:t>2.</w:t>
      </w:r>
      <w:r>
        <w:rPr>
          <w:rStyle w:val="15"/>
          <w:rFonts w:hint="eastAsia" w:ascii="仿宋_GB2312" w:hAnsi="仿宋" w:eastAsia="仿宋_GB2312"/>
          <w:sz w:val="32"/>
          <w:szCs w:val="32"/>
        </w:rPr>
        <w:t>科学技术支出（类）应用研究（款）社会公益研究（项）</w:t>
      </w:r>
      <w:r>
        <w:rPr>
          <w:rStyle w:val="15"/>
          <w:rFonts w:ascii="仿宋_GB2312" w:hAnsi="仿宋" w:eastAsia="仿宋_GB2312"/>
          <w:sz w:val="32"/>
          <w:szCs w:val="32"/>
        </w:rPr>
        <w:t>:</w:t>
      </w:r>
      <w:r>
        <w:rPr>
          <w:rStyle w:val="15"/>
          <w:rFonts w:hint="eastAsia" w:ascii="仿宋_GB2312" w:hAnsi="仿宋" w:eastAsia="仿宋_GB2312"/>
          <w:b w:val="0"/>
          <w:bCs/>
          <w:sz w:val="32"/>
          <w:szCs w:val="32"/>
        </w:rPr>
        <w:t>支出决算为27.68万元，完成预算</w:t>
      </w:r>
      <w:r>
        <w:rPr>
          <w:rStyle w:val="15"/>
          <w:rFonts w:ascii="仿宋_GB2312" w:hAnsi="仿宋" w:eastAsia="仿宋_GB2312"/>
          <w:b w:val="0"/>
          <w:bCs/>
          <w:sz w:val="32"/>
          <w:szCs w:val="32"/>
        </w:rPr>
        <w:t>100%</w:t>
      </w:r>
      <w:r>
        <w:rPr>
          <w:rStyle w:val="15"/>
          <w:rFonts w:hint="eastAsia" w:ascii="仿宋_GB2312" w:hAnsi="仿宋" w:eastAsia="仿宋_GB2312"/>
          <w:b w:val="0"/>
          <w:bCs/>
          <w:sz w:val="32"/>
          <w:szCs w:val="32"/>
        </w:rPr>
        <w:t>。</w:t>
      </w:r>
    </w:p>
    <w:p>
      <w:pPr>
        <w:spacing w:line="600" w:lineRule="exact"/>
        <w:ind w:firstLine="643" w:firstLineChars="200"/>
        <w:rPr>
          <w:rFonts w:ascii="仿宋_GB2312" w:hAnsi="仿宋" w:eastAsia="仿宋_GB2312"/>
          <w:sz w:val="32"/>
          <w:szCs w:val="32"/>
        </w:rPr>
      </w:pPr>
      <w:r>
        <w:rPr>
          <w:rStyle w:val="15"/>
          <w:rFonts w:ascii="仿宋_GB2312" w:hAnsi="仿宋" w:eastAsia="仿宋_GB2312"/>
          <w:sz w:val="32"/>
          <w:szCs w:val="32"/>
        </w:rPr>
        <w:t>3.</w:t>
      </w:r>
      <w:r>
        <w:rPr>
          <w:rStyle w:val="15"/>
          <w:rFonts w:hint="eastAsia" w:ascii="仿宋_GB2312" w:hAnsi="仿宋" w:eastAsia="仿宋_GB2312"/>
          <w:sz w:val="32"/>
          <w:szCs w:val="32"/>
        </w:rPr>
        <w:t>科学技术支出（类）技术研究与开发（款）应用技术研究与开发（项）</w:t>
      </w:r>
      <w:r>
        <w:rPr>
          <w:rStyle w:val="15"/>
          <w:rFonts w:ascii="仿宋_GB2312" w:hAnsi="仿宋" w:eastAsia="仿宋_GB2312"/>
          <w:sz w:val="32"/>
          <w:szCs w:val="32"/>
        </w:rPr>
        <w:t>:</w:t>
      </w:r>
      <w:r>
        <w:rPr>
          <w:rStyle w:val="15"/>
          <w:rFonts w:hint="eastAsia" w:ascii="仿宋_GB2312" w:hAnsi="仿宋" w:eastAsia="仿宋_GB2312"/>
          <w:b w:val="0"/>
          <w:bCs/>
          <w:color w:val="000000"/>
          <w:sz w:val="32"/>
          <w:szCs w:val="32"/>
        </w:rPr>
        <w:t>支出决算为</w:t>
      </w:r>
      <w:r>
        <w:rPr>
          <w:rStyle w:val="15"/>
          <w:rFonts w:hint="eastAsia" w:ascii="仿宋_GB2312" w:hAnsi="仿宋" w:eastAsia="仿宋_GB2312"/>
          <w:b w:val="0"/>
          <w:bCs/>
          <w:color w:val="000000"/>
          <w:sz w:val="32"/>
          <w:szCs w:val="32"/>
          <w:lang w:val="en-US" w:eastAsia="zh-CN"/>
        </w:rPr>
        <w:t>12.45</w:t>
      </w:r>
      <w:r>
        <w:rPr>
          <w:rStyle w:val="15"/>
          <w:rFonts w:hint="eastAsia" w:ascii="仿宋_GB2312" w:hAnsi="仿宋" w:eastAsia="仿宋_GB2312"/>
          <w:b w:val="0"/>
          <w:bCs/>
          <w:color w:val="000000"/>
          <w:sz w:val="32"/>
          <w:szCs w:val="32"/>
        </w:rPr>
        <w:t>万元，完成预算</w:t>
      </w:r>
      <w:r>
        <w:rPr>
          <w:rStyle w:val="15"/>
          <w:rFonts w:hint="eastAsia" w:ascii="仿宋_GB2312" w:hAnsi="仿宋" w:eastAsia="仿宋_GB2312"/>
          <w:b w:val="0"/>
          <w:bCs/>
          <w:color w:val="000000"/>
          <w:sz w:val="32"/>
          <w:szCs w:val="32"/>
          <w:lang w:val="en-US" w:eastAsia="zh-CN"/>
        </w:rPr>
        <w:t>49.8</w:t>
      </w:r>
      <w:r>
        <w:rPr>
          <w:rStyle w:val="15"/>
          <w:rFonts w:ascii="仿宋_GB2312" w:hAnsi="仿宋" w:eastAsia="仿宋_GB2312"/>
          <w:b w:val="0"/>
          <w:bCs/>
          <w:color w:val="000000"/>
          <w:sz w:val="32"/>
          <w:szCs w:val="32"/>
        </w:rPr>
        <w:t>%</w:t>
      </w:r>
      <w:r>
        <w:rPr>
          <w:rStyle w:val="15"/>
          <w:rFonts w:hint="eastAsia" w:ascii="仿宋_GB2312" w:hAnsi="仿宋" w:eastAsia="仿宋_GB2312"/>
          <w:b w:val="0"/>
          <w:bCs/>
          <w:color w:val="000000"/>
          <w:sz w:val="32"/>
          <w:szCs w:val="32"/>
        </w:rPr>
        <w:t>，决算数小于预算数的主要原因</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年末</w:t>
      </w:r>
      <w:r>
        <w:rPr>
          <w:rFonts w:hint="eastAsia" w:ascii="仿宋_GB2312" w:hAnsi="仿宋" w:eastAsia="仿宋_GB2312"/>
          <w:sz w:val="32"/>
          <w:szCs w:val="32"/>
        </w:rPr>
        <w:t>结转</w:t>
      </w:r>
      <w:r>
        <w:rPr>
          <w:rFonts w:hint="eastAsia" w:ascii="仿宋_GB2312" w:hAnsi="仿宋" w:eastAsia="仿宋_GB2312"/>
          <w:sz w:val="32"/>
          <w:szCs w:val="32"/>
          <w:lang w:val="en-US" w:eastAsia="zh-CN"/>
        </w:rPr>
        <w:t>1</w:t>
      </w:r>
      <w:r>
        <w:rPr>
          <w:rFonts w:hint="eastAsia" w:ascii="仿宋_GB2312" w:hAnsi="仿宋" w:eastAsia="仿宋_GB2312"/>
          <w:sz w:val="32"/>
          <w:szCs w:val="32"/>
        </w:rPr>
        <w:t>笔跨年度科研项目资金</w:t>
      </w:r>
      <w:r>
        <w:rPr>
          <w:rFonts w:hint="eastAsia" w:ascii="仿宋_GB2312" w:hAnsi="仿宋" w:eastAsia="仿宋_GB2312"/>
          <w:sz w:val="32"/>
          <w:szCs w:val="32"/>
          <w:lang w:val="en-US" w:eastAsia="zh-CN"/>
        </w:rPr>
        <w:t>12.55万元</w:t>
      </w:r>
      <w:r>
        <w:rPr>
          <w:rFonts w:hint="eastAsia" w:ascii="仿宋_GB2312" w:hAnsi="仿宋" w:eastAsia="仿宋_GB2312"/>
          <w:sz w:val="32"/>
          <w:szCs w:val="32"/>
        </w:rPr>
        <w:t>。</w:t>
      </w:r>
    </w:p>
    <w:p>
      <w:pPr>
        <w:spacing w:line="600" w:lineRule="exact"/>
        <w:ind w:firstLine="643" w:firstLineChars="200"/>
        <w:rPr>
          <w:rFonts w:hint="eastAsia" w:ascii="仿宋_GB2312" w:hAnsi="仿宋" w:eastAsia="仿宋_GB2312"/>
          <w:sz w:val="32"/>
          <w:szCs w:val="32"/>
        </w:rPr>
      </w:pPr>
      <w:r>
        <w:rPr>
          <w:rStyle w:val="15"/>
          <w:rFonts w:ascii="仿宋_GB2312" w:hAnsi="仿宋" w:eastAsia="仿宋_GB2312"/>
          <w:sz w:val="32"/>
          <w:szCs w:val="32"/>
        </w:rPr>
        <w:t>4.</w:t>
      </w:r>
      <w:r>
        <w:rPr>
          <w:rStyle w:val="15"/>
          <w:rFonts w:hint="eastAsia" w:ascii="仿宋_GB2312" w:hAnsi="仿宋" w:eastAsia="仿宋_GB2312"/>
          <w:sz w:val="32"/>
          <w:szCs w:val="32"/>
        </w:rPr>
        <w:t>科学技术支出（类）科技条件与服务（款） 科技条件专项</w:t>
      </w:r>
      <w:r>
        <w:rPr>
          <w:rStyle w:val="15"/>
          <w:rFonts w:ascii="仿宋_GB2312" w:hAnsi="仿宋" w:eastAsia="仿宋_GB2312"/>
          <w:sz w:val="32"/>
          <w:szCs w:val="32"/>
        </w:rPr>
        <w:t>:</w:t>
      </w:r>
      <w:r>
        <w:rPr>
          <w:rStyle w:val="15"/>
          <w:rFonts w:hint="eastAsia" w:ascii="仿宋_GB2312" w:hAnsi="仿宋" w:eastAsia="仿宋_GB2312"/>
          <w:b w:val="0"/>
          <w:bCs/>
          <w:color w:val="000000"/>
          <w:sz w:val="32"/>
          <w:szCs w:val="32"/>
        </w:rPr>
        <w:t>支出决算为</w:t>
      </w:r>
      <w:r>
        <w:rPr>
          <w:rStyle w:val="15"/>
          <w:rFonts w:hint="eastAsia" w:ascii="仿宋_GB2312" w:hAnsi="仿宋" w:eastAsia="仿宋_GB2312"/>
          <w:b w:val="0"/>
          <w:bCs/>
          <w:color w:val="000000"/>
          <w:sz w:val="32"/>
          <w:szCs w:val="32"/>
          <w:lang w:val="en-US" w:eastAsia="zh-CN"/>
        </w:rPr>
        <w:t>40</w:t>
      </w:r>
      <w:r>
        <w:rPr>
          <w:rStyle w:val="15"/>
          <w:rFonts w:hint="eastAsia" w:ascii="仿宋_GB2312" w:hAnsi="仿宋" w:eastAsia="仿宋_GB2312"/>
          <w:b w:val="0"/>
          <w:bCs/>
          <w:color w:val="000000"/>
          <w:sz w:val="32"/>
          <w:szCs w:val="32"/>
        </w:rPr>
        <w:t>万元，完成预算</w:t>
      </w:r>
      <w:r>
        <w:rPr>
          <w:rStyle w:val="15"/>
          <w:rFonts w:hint="eastAsia" w:ascii="仿宋_GB2312" w:hAnsi="仿宋" w:eastAsia="仿宋_GB2312"/>
          <w:b w:val="0"/>
          <w:bCs/>
          <w:color w:val="000000"/>
          <w:sz w:val="32"/>
          <w:szCs w:val="32"/>
          <w:lang w:val="en-US" w:eastAsia="zh-CN"/>
        </w:rPr>
        <w:t>8</w:t>
      </w:r>
      <w:r>
        <w:rPr>
          <w:rStyle w:val="15"/>
          <w:rFonts w:ascii="仿宋_GB2312" w:hAnsi="仿宋" w:eastAsia="仿宋_GB2312"/>
          <w:b w:val="0"/>
          <w:bCs/>
          <w:color w:val="000000"/>
          <w:sz w:val="32"/>
          <w:szCs w:val="32"/>
        </w:rPr>
        <w:t>0%</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决算数小于预算数的主要原因</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年末</w:t>
      </w:r>
      <w:r>
        <w:rPr>
          <w:rFonts w:hint="eastAsia" w:ascii="仿宋_GB2312" w:hAnsi="仿宋" w:eastAsia="仿宋_GB2312"/>
          <w:sz w:val="32"/>
          <w:szCs w:val="32"/>
        </w:rPr>
        <w:t>结转</w:t>
      </w:r>
      <w:r>
        <w:rPr>
          <w:rFonts w:hint="eastAsia" w:ascii="仿宋_GB2312" w:hAnsi="仿宋" w:eastAsia="仿宋_GB2312"/>
          <w:sz w:val="32"/>
          <w:szCs w:val="32"/>
          <w:lang w:val="en-US" w:eastAsia="zh-CN"/>
        </w:rPr>
        <w:t>1</w:t>
      </w:r>
      <w:r>
        <w:rPr>
          <w:rFonts w:hint="eastAsia" w:ascii="仿宋_GB2312" w:hAnsi="仿宋" w:eastAsia="仿宋_GB2312"/>
          <w:sz w:val="32"/>
          <w:szCs w:val="32"/>
        </w:rPr>
        <w:t>笔跨年度科研项目资金</w:t>
      </w:r>
      <w:r>
        <w:rPr>
          <w:rFonts w:hint="eastAsia" w:ascii="仿宋_GB2312" w:hAnsi="仿宋" w:eastAsia="仿宋_GB2312"/>
          <w:sz w:val="32"/>
          <w:szCs w:val="32"/>
          <w:lang w:val="en-US" w:eastAsia="zh-CN"/>
        </w:rPr>
        <w:t>10万元</w:t>
      </w:r>
      <w:r>
        <w:rPr>
          <w:rFonts w:hint="eastAsia" w:ascii="仿宋_GB2312" w:hAnsi="仿宋" w:eastAsia="仿宋_GB2312"/>
          <w:sz w:val="32"/>
          <w:szCs w:val="32"/>
        </w:rPr>
        <w:t>。</w:t>
      </w:r>
    </w:p>
    <w:p>
      <w:pPr>
        <w:spacing w:line="600" w:lineRule="exact"/>
        <w:ind w:firstLine="643" w:firstLineChars="200"/>
        <w:rPr>
          <w:rFonts w:hint="eastAsia" w:ascii="仿宋_GB2312" w:hAnsi="仿宋" w:eastAsia="仿宋_GB2312"/>
          <w:sz w:val="32"/>
          <w:szCs w:val="32"/>
        </w:rPr>
      </w:pPr>
      <w:r>
        <w:rPr>
          <w:rStyle w:val="15"/>
          <w:rFonts w:ascii="仿宋_GB2312" w:hAnsi="仿宋" w:eastAsia="仿宋_GB2312"/>
          <w:sz w:val="32"/>
          <w:szCs w:val="32"/>
        </w:rPr>
        <w:t>5.</w:t>
      </w:r>
      <w:r>
        <w:rPr>
          <w:rStyle w:val="15"/>
          <w:rFonts w:hint="eastAsia" w:ascii="仿宋_GB2312" w:hAnsi="仿宋" w:eastAsia="仿宋_GB2312"/>
          <w:sz w:val="32"/>
          <w:szCs w:val="32"/>
        </w:rPr>
        <w:t>科学技术支出（类）其他科学技术支出（款）其他科学技术支出（项）</w:t>
      </w:r>
      <w:r>
        <w:rPr>
          <w:rStyle w:val="15"/>
          <w:rFonts w:ascii="仿宋_GB2312" w:hAnsi="仿宋" w:eastAsia="仿宋_GB2312"/>
          <w:sz w:val="32"/>
          <w:szCs w:val="32"/>
        </w:rPr>
        <w:t>:</w:t>
      </w:r>
      <w:r>
        <w:rPr>
          <w:rStyle w:val="15"/>
          <w:rFonts w:hint="eastAsia" w:ascii="仿宋_GB2312" w:hAnsi="仿宋" w:eastAsia="仿宋_GB2312"/>
          <w:b w:val="0"/>
          <w:bCs/>
          <w:color w:val="000000"/>
          <w:sz w:val="32"/>
          <w:szCs w:val="32"/>
        </w:rPr>
        <w:t>支出决算为</w:t>
      </w:r>
      <w:r>
        <w:rPr>
          <w:rStyle w:val="15"/>
          <w:rFonts w:hint="eastAsia" w:ascii="仿宋_GB2312" w:hAnsi="仿宋" w:eastAsia="仿宋_GB2312"/>
          <w:b w:val="0"/>
          <w:bCs/>
          <w:color w:val="000000"/>
          <w:sz w:val="32"/>
          <w:szCs w:val="32"/>
          <w:lang w:val="en-US" w:eastAsia="zh-CN"/>
        </w:rPr>
        <w:t>19.02</w:t>
      </w:r>
      <w:r>
        <w:rPr>
          <w:rStyle w:val="15"/>
          <w:rFonts w:hint="eastAsia" w:ascii="仿宋_GB2312" w:hAnsi="仿宋" w:eastAsia="仿宋_GB2312"/>
          <w:b w:val="0"/>
          <w:bCs/>
          <w:color w:val="000000"/>
          <w:sz w:val="32"/>
          <w:szCs w:val="32"/>
        </w:rPr>
        <w:t>万元，完成预算</w:t>
      </w:r>
      <w:r>
        <w:rPr>
          <w:rStyle w:val="15"/>
          <w:rFonts w:hint="eastAsia" w:ascii="仿宋_GB2312" w:hAnsi="仿宋" w:eastAsia="仿宋_GB2312"/>
          <w:b w:val="0"/>
          <w:bCs/>
          <w:color w:val="000000"/>
          <w:sz w:val="32"/>
          <w:szCs w:val="32"/>
          <w:lang w:val="en-US" w:eastAsia="zh-CN"/>
        </w:rPr>
        <w:t>47.55</w:t>
      </w:r>
      <w:r>
        <w:rPr>
          <w:rStyle w:val="15"/>
          <w:rFonts w:ascii="仿宋_GB2312" w:hAnsi="仿宋" w:eastAsia="仿宋_GB2312"/>
          <w:b w:val="0"/>
          <w:bCs/>
          <w:color w:val="000000"/>
          <w:sz w:val="32"/>
          <w:szCs w:val="32"/>
        </w:rPr>
        <w:t>%</w:t>
      </w:r>
      <w:r>
        <w:rPr>
          <w:rFonts w:hint="eastAsia" w:ascii="仿宋_GB2312" w:hAnsi="仿宋" w:eastAsia="仿宋_GB2312"/>
          <w:sz w:val="32"/>
          <w:szCs w:val="32"/>
        </w:rPr>
        <w:t>。</w:t>
      </w:r>
      <w:r>
        <w:rPr>
          <w:rStyle w:val="15"/>
          <w:rFonts w:hint="eastAsia" w:ascii="仿宋_GB2312" w:hAnsi="仿宋" w:eastAsia="仿宋_GB2312"/>
          <w:b w:val="0"/>
          <w:bCs/>
          <w:color w:val="000000"/>
          <w:sz w:val="32"/>
          <w:szCs w:val="32"/>
        </w:rPr>
        <w:t>决算数小于预算数的主要原因</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年末</w:t>
      </w:r>
      <w:r>
        <w:rPr>
          <w:rFonts w:hint="eastAsia" w:ascii="仿宋_GB2312" w:hAnsi="仿宋" w:eastAsia="仿宋_GB2312"/>
          <w:sz w:val="32"/>
          <w:szCs w:val="32"/>
        </w:rPr>
        <w:t>结转</w:t>
      </w:r>
      <w:r>
        <w:rPr>
          <w:rFonts w:hint="eastAsia" w:ascii="仿宋_GB2312" w:hAnsi="仿宋" w:eastAsia="仿宋_GB2312"/>
          <w:sz w:val="32"/>
          <w:szCs w:val="32"/>
          <w:lang w:val="en-US" w:eastAsia="zh-CN"/>
        </w:rPr>
        <w:t>1</w:t>
      </w:r>
      <w:r>
        <w:rPr>
          <w:rFonts w:hint="eastAsia" w:ascii="仿宋_GB2312" w:hAnsi="仿宋" w:eastAsia="仿宋_GB2312"/>
          <w:sz w:val="32"/>
          <w:szCs w:val="32"/>
        </w:rPr>
        <w:t>笔跨年度科研项目资金</w:t>
      </w:r>
      <w:r>
        <w:rPr>
          <w:rFonts w:hint="eastAsia" w:ascii="仿宋_GB2312" w:hAnsi="仿宋" w:eastAsia="仿宋_GB2312"/>
          <w:sz w:val="32"/>
          <w:szCs w:val="32"/>
          <w:lang w:val="en-US" w:eastAsia="zh-CN"/>
        </w:rPr>
        <w:t>20.98万元</w:t>
      </w:r>
      <w:r>
        <w:rPr>
          <w:rFonts w:hint="eastAsia" w:ascii="仿宋_GB2312" w:hAnsi="仿宋" w:eastAsia="仿宋_GB2312"/>
          <w:sz w:val="32"/>
          <w:szCs w:val="32"/>
        </w:rPr>
        <w:t>。</w:t>
      </w:r>
    </w:p>
    <w:p>
      <w:pPr>
        <w:spacing w:line="600" w:lineRule="exact"/>
        <w:ind w:firstLine="643" w:firstLineChars="200"/>
        <w:rPr>
          <w:rFonts w:ascii="仿宋_GB2312" w:hAnsi="仿宋" w:eastAsia="仿宋_GB2312"/>
          <w:sz w:val="32"/>
          <w:szCs w:val="32"/>
        </w:rPr>
      </w:pPr>
      <w:r>
        <w:rPr>
          <w:rStyle w:val="15"/>
          <w:rFonts w:hint="eastAsia" w:ascii="仿宋_GB2312" w:hAnsi="仿宋" w:eastAsia="仿宋_GB2312"/>
          <w:color w:val="000000"/>
          <w:sz w:val="32"/>
          <w:szCs w:val="32"/>
          <w:lang w:val="en-US" w:eastAsia="zh-CN"/>
        </w:rPr>
        <w:t>6</w:t>
      </w:r>
      <w:r>
        <w:rPr>
          <w:rStyle w:val="15"/>
          <w:rFonts w:ascii="仿宋_GB2312" w:hAnsi="仿宋" w:eastAsia="仿宋_GB2312"/>
          <w:color w:val="000000"/>
          <w:sz w:val="32"/>
          <w:szCs w:val="32"/>
        </w:rPr>
        <w:t xml:space="preserve">. </w:t>
      </w:r>
      <w:r>
        <w:rPr>
          <w:rStyle w:val="15"/>
          <w:rFonts w:hint="eastAsia" w:ascii="仿宋_GB2312" w:hAnsi="仿宋" w:eastAsia="仿宋_GB2312"/>
          <w:color w:val="000000"/>
          <w:sz w:val="32"/>
          <w:szCs w:val="32"/>
        </w:rPr>
        <w:t>社会保障和就业支出</w:t>
      </w:r>
      <w:r>
        <w:rPr>
          <w:rStyle w:val="15"/>
          <w:rFonts w:hint="eastAsia" w:ascii="仿宋_GB2312" w:hAnsi="仿宋" w:eastAsia="仿宋_GB2312"/>
          <w:sz w:val="32"/>
          <w:szCs w:val="32"/>
        </w:rPr>
        <w:t>（类）</w:t>
      </w:r>
      <w:r>
        <w:rPr>
          <w:rStyle w:val="15"/>
          <w:rFonts w:hint="eastAsia" w:ascii="仿宋_GB2312" w:hAnsi="仿宋" w:eastAsia="仿宋_GB2312"/>
          <w:color w:val="000000"/>
          <w:sz w:val="32"/>
          <w:szCs w:val="32"/>
        </w:rPr>
        <w:t>行政事业单位离退休</w:t>
      </w:r>
      <w:r>
        <w:rPr>
          <w:rStyle w:val="15"/>
          <w:rFonts w:hint="eastAsia" w:ascii="仿宋_GB2312" w:hAnsi="仿宋" w:eastAsia="仿宋_GB2312"/>
          <w:sz w:val="32"/>
          <w:szCs w:val="32"/>
        </w:rPr>
        <w:t>（款）</w:t>
      </w:r>
      <w:r>
        <w:rPr>
          <w:rStyle w:val="15"/>
          <w:rFonts w:hint="eastAsia" w:ascii="仿宋_GB2312" w:hAnsi="仿宋" w:eastAsia="仿宋_GB2312"/>
          <w:color w:val="000000"/>
          <w:sz w:val="32"/>
          <w:szCs w:val="32"/>
        </w:rPr>
        <w:t>机关事业单位基本养老保险缴费支出</w:t>
      </w:r>
      <w:r>
        <w:rPr>
          <w:rStyle w:val="15"/>
          <w:rFonts w:hint="eastAsia" w:ascii="仿宋_GB2312" w:hAnsi="仿宋" w:eastAsia="仿宋_GB2312"/>
          <w:sz w:val="32"/>
          <w:szCs w:val="32"/>
        </w:rPr>
        <w:t>（项）</w:t>
      </w:r>
      <w:r>
        <w:rPr>
          <w:rStyle w:val="15"/>
          <w:rFonts w:ascii="仿宋_GB2312" w:hAnsi="仿宋" w:eastAsia="仿宋_GB2312"/>
          <w:b w:val="0"/>
          <w:bCs/>
          <w:color w:val="000000"/>
          <w:sz w:val="32"/>
          <w:szCs w:val="32"/>
        </w:rPr>
        <w:t>:</w:t>
      </w:r>
      <w:r>
        <w:rPr>
          <w:rStyle w:val="15"/>
          <w:rFonts w:hint="eastAsia" w:ascii="仿宋_GB2312" w:hAnsi="仿宋" w:eastAsia="仿宋_GB2312"/>
          <w:b w:val="0"/>
          <w:bCs/>
          <w:color w:val="000000"/>
          <w:sz w:val="32"/>
          <w:szCs w:val="32"/>
        </w:rPr>
        <w:t>支出决算为</w:t>
      </w:r>
      <w:r>
        <w:rPr>
          <w:rStyle w:val="15"/>
          <w:rFonts w:hint="eastAsia" w:ascii="仿宋_GB2312" w:hAnsi="仿宋" w:eastAsia="仿宋_GB2312"/>
          <w:b w:val="0"/>
          <w:bCs/>
          <w:color w:val="000000"/>
          <w:sz w:val="32"/>
          <w:szCs w:val="32"/>
          <w:lang w:val="en-US" w:eastAsia="zh-CN"/>
        </w:rPr>
        <w:t>13</w:t>
      </w:r>
      <w:r>
        <w:rPr>
          <w:rStyle w:val="15"/>
          <w:rFonts w:hint="eastAsia" w:ascii="仿宋_GB2312" w:hAnsi="仿宋" w:eastAsia="仿宋_GB2312"/>
          <w:b w:val="0"/>
          <w:bCs/>
          <w:color w:val="000000"/>
          <w:sz w:val="32"/>
          <w:szCs w:val="32"/>
        </w:rPr>
        <w:t>万元，完成预算</w:t>
      </w:r>
      <w:r>
        <w:rPr>
          <w:rStyle w:val="15"/>
          <w:rFonts w:ascii="仿宋_GB2312" w:hAnsi="仿宋" w:eastAsia="仿宋_GB2312"/>
          <w:b w:val="0"/>
          <w:bCs/>
          <w:color w:val="000000"/>
          <w:sz w:val="32"/>
          <w:szCs w:val="32"/>
        </w:rPr>
        <w:t>100%</w:t>
      </w:r>
      <w:r>
        <w:rPr>
          <w:rFonts w:hint="eastAsia" w:ascii="仿宋_GB2312" w:hAnsi="仿宋" w:eastAsia="仿宋_GB2312"/>
          <w:sz w:val="32"/>
          <w:szCs w:val="32"/>
        </w:rPr>
        <w:t>。</w:t>
      </w:r>
    </w:p>
    <w:p>
      <w:pPr>
        <w:spacing w:line="600" w:lineRule="exact"/>
        <w:ind w:firstLine="643" w:firstLineChars="200"/>
        <w:rPr>
          <w:rFonts w:ascii="仿宋_GB2312" w:hAnsi="仿宋" w:eastAsia="仿宋_GB2312"/>
          <w:sz w:val="32"/>
          <w:szCs w:val="32"/>
        </w:rPr>
      </w:pPr>
      <w:r>
        <w:rPr>
          <w:rStyle w:val="15"/>
          <w:rFonts w:hint="eastAsia" w:ascii="仿宋_GB2312" w:hAnsi="仿宋" w:eastAsia="仿宋_GB2312"/>
          <w:color w:val="000000"/>
          <w:sz w:val="32"/>
          <w:szCs w:val="32"/>
          <w:lang w:val="en-US" w:eastAsia="zh-CN"/>
        </w:rPr>
        <w:t>7</w:t>
      </w:r>
      <w:r>
        <w:rPr>
          <w:rStyle w:val="15"/>
          <w:rFonts w:ascii="仿宋_GB2312" w:hAnsi="仿宋" w:eastAsia="仿宋_GB2312"/>
          <w:color w:val="000000"/>
          <w:sz w:val="32"/>
          <w:szCs w:val="32"/>
        </w:rPr>
        <w:t xml:space="preserve">. </w:t>
      </w:r>
      <w:r>
        <w:rPr>
          <w:rStyle w:val="15"/>
          <w:rFonts w:hint="eastAsia" w:ascii="仿宋_GB2312" w:hAnsi="仿宋" w:eastAsia="仿宋_GB2312"/>
          <w:color w:val="000000"/>
          <w:sz w:val="32"/>
          <w:szCs w:val="32"/>
        </w:rPr>
        <w:t>社会保障和就业支出</w:t>
      </w:r>
      <w:r>
        <w:rPr>
          <w:rStyle w:val="15"/>
          <w:rFonts w:hint="eastAsia" w:ascii="仿宋_GB2312" w:hAnsi="仿宋" w:eastAsia="仿宋_GB2312"/>
          <w:sz w:val="32"/>
          <w:szCs w:val="32"/>
        </w:rPr>
        <w:t>（类）</w:t>
      </w:r>
      <w:r>
        <w:rPr>
          <w:rStyle w:val="15"/>
          <w:rFonts w:hint="eastAsia" w:ascii="仿宋_GB2312" w:hAnsi="仿宋" w:eastAsia="仿宋_GB2312"/>
          <w:color w:val="000000"/>
          <w:sz w:val="32"/>
          <w:szCs w:val="32"/>
        </w:rPr>
        <w:t>行政事业单位离退休</w:t>
      </w:r>
      <w:r>
        <w:rPr>
          <w:rStyle w:val="15"/>
          <w:rFonts w:hint="eastAsia" w:ascii="仿宋_GB2312" w:hAnsi="仿宋" w:eastAsia="仿宋_GB2312"/>
          <w:sz w:val="32"/>
          <w:szCs w:val="32"/>
        </w:rPr>
        <w:t>（款）</w:t>
      </w:r>
      <w:r>
        <w:rPr>
          <w:rStyle w:val="15"/>
          <w:rFonts w:hint="eastAsia" w:ascii="仿宋_GB2312" w:hAnsi="仿宋" w:eastAsia="仿宋_GB2312"/>
          <w:color w:val="000000"/>
          <w:sz w:val="32"/>
          <w:szCs w:val="32"/>
        </w:rPr>
        <w:t>机关事业单位职业年金缴费支出</w:t>
      </w:r>
      <w:r>
        <w:rPr>
          <w:rStyle w:val="15"/>
          <w:rFonts w:hint="eastAsia" w:ascii="仿宋_GB2312" w:hAnsi="仿宋" w:eastAsia="仿宋_GB2312"/>
          <w:sz w:val="32"/>
          <w:szCs w:val="32"/>
        </w:rPr>
        <w:t>（项）</w:t>
      </w:r>
      <w:r>
        <w:rPr>
          <w:rStyle w:val="15"/>
          <w:rFonts w:ascii="仿宋_GB2312" w:hAnsi="仿宋" w:eastAsia="仿宋_GB2312"/>
          <w:b w:val="0"/>
          <w:bCs/>
          <w:color w:val="000000"/>
          <w:sz w:val="32"/>
          <w:szCs w:val="32"/>
        </w:rPr>
        <w:t>:</w:t>
      </w:r>
      <w:r>
        <w:rPr>
          <w:rStyle w:val="15"/>
          <w:rFonts w:hint="eastAsia" w:ascii="仿宋_GB2312" w:hAnsi="仿宋" w:eastAsia="仿宋_GB2312"/>
          <w:b w:val="0"/>
          <w:bCs/>
          <w:color w:val="000000"/>
          <w:sz w:val="32"/>
          <w:szCs w:val="32"/>
        </w:rPr>
        <w:t>支出决算为</w:t>
      </w:r>
      <w:r>
        <w:rPr>
          <w:rStyle w:val="15"/>
          <w:rFonts w:hint="eastAsia" w:ascii="仿宋_GB2312" w:hAnsi="仿宋" w:eastAsia="仿宋_GB2312"/>
          <w:b w:val="0"/>
          <w:bCs/>
          <w:color w:val="000000"/>
          <w:sz w:val="32"/>
          <w:szCs w:val="32"/>
          <w:lang w:val="en-US" w:eastAsia="zh-CN"/>
        </w:rPr>
        <w:t>6</w:t>
      </w:r>
      <w:r>
        <w:rPr>
          <w:rStyle w:val="15"/>
          <w:rFonts w:hint="eastAsia" w:ascii="仿宋_GB2312" w:hAnsi="仿宋" w:eastAsia="仿宋_GB2312"/>
          <w:b w:val="0"/>
          <w:bCs/>
          <w:color w:val="000000"/>
          <w:sz w:val="32"/>
          <w:szCs w:val="32"/>
        </w:rPr>
        <w:t>万元，完成预算</w:t>
      </w:r>
      <w:r>
        <w:rPr>
          <w:rStyle w:val="15"/>
          <w:rFonts w:ascii="仿宋_GB2312" w:hAnsi="仿宋" w:eastAsia="仿宋_GB2312"/>
          <w:b w:val="0"/>
          <w:bCs/>
          <w:color w:val="000000"/>
          <w:sz w:val="32"/>
          <w:szCs w:val="32"/>
        </w:rPr>
        <w:t>100%</w:t>
      </w:r>
      <w:r>
        <w:rPr>
          <w:rFonts w:hint="eastAsia" w:ascii="仿宋_GB2312" w:hAnsi="仿宋" w:eastAsia="仿宋_GB2312"/>
          <w:sz w:val="32"/>
          <w:szCs w:val="32"/>
        </w:rPr>
        <w:t>。</w:t>
      </w:r>
    </w:p>
    <w:p>
      <w:pPr>
        <w:spacing w:line="600" w:lineRule="exact"/>
        <w:ind w:firstLine="643" w:firstLineChars="200"/>
        <w:rPr>
          <w:rFonts w:ascii="仿宋_GB2312" w:hAnsi="仿宋" w:eastAsia="仿宋_GB2312"/>
          <w:sz w:val="32"/>
          <w:szCs w:val="32"/>
        </w:rPr>
      </w:pPr>
      <w:r>
        <w:rPr>
          <w:rStyle w:val="15"/>
          <w:rFonts w:hint="eastAsia" w:ascii="仿宋_GB2312" w:hAnsi="仿宋" w:eastAsia="仿宋_GB2312"/>
          <w:color w:val="000000"/>
          <w:sz w:val="32"/>
          <w:szCs w:val="32"/>
          <w:lang w:val="en-US" w:eastAsia="zh-CN"/>
        </w:rPr>
        <w:t>8</w:t>
      </w:r>
      <w:r>
        <w:rPr>
          <w:rStyle w:val="15"/>
          <w:rFonts w:ascii="仿宋_GB2312" w:hAnsi="仿宋" w:eastAsia="仿宋_GB2312"/>
          <w:color w:val="000000"/>
          <w:sz w:val="32"/>
          <w:szCs w:val="32"/>
        </w:rPr>
        <w:t xml:space="preserve">. </w:t>
      </w:r>
      <w:r>
        <w:rPr>
          <w:rStyle w:val="15"/>
          <w:rFonts w:hint="eastAsia" w:ascii="仿宋_GB2312" w:hAnsi="仿宋" w:eastAsia="仿宋_GB2312"/>
          <w:color w:val="000000"/>
          <w:sz w:val="32"/>
          <w:szCs w:val="32"/>
        </w:rPr>
        <w:t>卫生健康支出</w:t>
      </w:r>
      <w:r>
        <w:rPr>
          <w:rStyle w:val="15"/>
          <w:rFonts w:hint="eastAsia" w:ascii="仿宋_GB2312" w:hAnsi="仿宋" w:eastAsia="仿宋_GB2312"/>
          <w:sz w:val="32"/>
          <w:szCs w:val="32"/>
        </w:rPr>
        <w:t>（类）</w:t>
      </w:r>
      <w:r>
        <w:rPr>
          <w:rStyle w:val="15"/>
          <w:rFonts w:hint="eastAsia" w:ascii="仿宋_GB2312" w:hAnsi="仿宋" w:eastAsia="仿宋_GB2312"/>
          <w:color w:val="000000"/>
          <w:sz w:val="32"/>
          <w:szCs w:val="32"/>
        </w:rPr>
        <w:t>行政事业单位医疗</w:t>
      </w:r>
      <w:r>
        <w:rPr>
          <w:rStyle w:val="15"/>
          <w:rFonts w:hint="eastAsia" w:ascii="仿宋_GB2312" w:hAnsi="仿宋" w:eastAsia="仿宋_GB2312"/>
          <w:sz w:val="32"/>
          <w:szCs w:val="32"/>
        </w:rPr>
        <w:t>（款）</w:t>
      </w:r>
      <w:r>
        <w:rPr>
          <w:rStyle w:val="15"/>
          <w:rFonts w:hint="eastAsia" w:ascii="仿宋_GB2312" w:hAnsi="仿宋" w:eastAsia="仿宋_GB2312"/>
          <w:color w:val="000000"/>
          <w:sz w:val="32"/>
          <w:szCs w:val="32"/>
        </w:rPr>
        <w:t>事业单位医疗</w:t>
      </w:r>
      <w:r>
        <w:rPr>
          <w:rStyle w:val="15"/>
          <w:rFonts w:hint="eastAsia" w:ascii="仿宋_GB2312" w:hAnsi="仿宋" w:eastAsia="仿宋_GB2312"/>
          <w:sz w:val="32"/>
          <w:szCs w:val="32"/>
        </w:rPr>
        <w:t>（项）</w:t>
      </w:r>
      <w:r>
        <w:rPr>
          <w:rStyle w:val="15"/>
          <w:rFonts w:hint="eastAsia" w:ascii="仿宋_GB2312" w:hAnsi="仿宋" w:eastAsia="仿宋_GB2312"/>
          <w:color w:val="000000"/>
          <w:sz w:val="32"/>
          <w:szCs w:val="32"/>
        </w:rPr>
        <w:t>：</w:t>
      </w:r>
      <w:r>
        <w:rPr>
          <w:rStyle w:val="15"/>
          <w:rFonts w:hint="eastAsia" w:ascii="仿宋_GB2312" w:hAnsi="仿宋" w:eastAsia="仿宋_GB2312"/>
          <w:b w:val="0"/>
          <w:bCs/>
          <w:color w:val="000000"/>
          <w:sz w:val="32"/>
          <w:szCs w:val="32"/>
        </w:rPr>
        <w:t>支出决算为</w:t>
      </w:r>
      <w:r>
        <w:rPr>
          <w:rStyle w:val="15"/>
          <w:rFonts w:hint="eastAsia" w:ascii="仿宋_GB2312" w:hAnsi="仿宋" w:eastAsia="仿宋_GB2312"/>
          <w:b w:val="0"/>
          <w:bCs/>
          <w:color w:val="000000"/>
          <w:sz w:val="32"/>
          <w:szCs w:val="32"/>
          <w:lang w:val="en-US" w:eastAsia="zh-CN"/>
        </w:rPr>
        <w:t>6.91</w:t>
      </w:r>
      <w:r>
        <w:rPr>
          <w:rStyle w:val="15"/>
          <w:rFonts w:hint="eastAsia" w:ascii="仿宋_GB2312" w:hAnsi="仿宋" w:eastAsia="仿宋_GB2312"/>
          <w:b w:val="0"/>
          <w:bCs/>
          <w:color w:val="000000"/>
          <w:sz w:val="32"/>
          <w:szCs w:val="32"/>
        </w:rPr>
        <w:t>万元，完成预算</w:t>
      </w:r>
      <w:r>
        <w:rPr>
          <w:rStyle w:val="15"/>
          <w:rFonts w:ascii="仿宋_GB2312" w:hAnsi="仿宋" w:eastAsia="仿宋_GB2312"/>
          <w:b w:val="0"/>
          <w:bCs/>
          <w:color w:val="000000"/>
          <w:sz w:val="32"/>
          <w:szCs w:val="32"/>
        </w:rPr>
        <w:t>100%</w:t>
      </w:r>
      <w:r>
        <w:rPr>
          <w:rFonts w:hint="eastAsia" w:ascii="仿宋_GB2312" w:hAnsi="仿宋" w:eastAsia="仿宋_GB2312"/>
          <w:sz w:val="32"/>
          <w:szCs w:val="32"/>
        </w:rPr>
        <w:t>。</w:t>
      </w:r>
    </w:p>
    <w:p>
      <w:pPr>
        <w:spacing w:line="600" w:lineRule="exact"/>
        <w:ind w:firstLine="643" w:firstLineChars="200"/>
        <w:rPr>
          <w:rFonts w:ascii="仿宋_GB2312" w:hAnsi="仿宋" w:eastAsia="仿宋_GB2312"/>
          <w:sz w:val="32"/>
          <w:szCs w:val="32"/>
        </w:rPr>
      </w:pPr>
      <w:r>
        <w:rPr>
          <w:rStyle w:val="15"/>
          <w:rFonts w:hint="eastAsia" w:ascii="仿宋_GB2312" w:hAnsi="仿宋" w:eastAsia="仿宋_GB2312"/>
          <w:color w:val="000000"/>
          <w:sz w:val="32"/>
          <w:szCs w:val="32"/>
          <w:lang w:val="en-US" w:eastAsia="zh-CN"/>
        </w:rPr>
        <w:t>9</w:t>
      </w:r>
      <w:r>
        <w:rPr>
          <w:rStyle w:val="15"/>
          <w:rFonts w:ascii="仿宋_GB2312" w:hAnsi="仿宋" w:eastAsia="仿宋_GB2312"/>
          <w:color w:val="000000"/>
          <w:sz w:val="32"/>
          <w:szCs w:val="32"/>
        </w:rPr>
        <w:t xml:space="preserve">. </w:t>
      </w:r>
      <w:r>
        <w:rPr>
          <w:rStyle w:val="15"/>
          <w:rFonts w:hint="eastAsia" w:ascii="仿宋_GB2312" w:hAnsi="仿宋" w:eastAsia="仿宋_GB2312"/>
          <w:color w:val="000000"/>
          <w:sz w:val="32"/>
          <w:szCs w:val="32"/>
        </w:rPr>
        <w:t>卫生健康支出</w:t>
      </w:r>
      <w:r>
        <w:rPr>
          <w:rStyle w:val="15"/>
          <w:rFonts w:hint="eastAsia" w:ascii="仿宋_GB2312" w:hAnsi="仿宋" w:eastAsia="仿宋_GB2312"/>
          <w:sz w:val="32"/>
          <w:szCs w:val="32"/>
        </w:rPr>
        <w:t>（类）</w:t>
      </w:r>
      <w:r>
        <w:rPr>
          <w:rStyle w:val="15"/>
          <w:rFonts w:hint="eastAsia" w:ascii="仿宋_GB2312" w:hAnsi="仿宋" w:eastAsia="仿宋_GB2312"/>
          <w:color w:val="000000"/>
          <w:sz w:val="32"/>
          <w:szCs w:val="32"/>
        </w:rPr>
        <w:t>行政事业单位医疗</w:t>
      </w:r>
      <w:r>
        <w:rPr>
          <w:rStyle w:val="15"/>
          <w:rFonts w:ascii="仿宋_GB2312" w:hAnsi="仿宋" w:eastAsia="仿宋_GB2312"/>
          <w:color w:val="000000"/>
          <w:sz w:val="32"/>
          <w:szCs w:val="32"/>
        </w:rPr>
        <w:t>-</w:t>
      </w:r>
      <w:r>
        <w:rPr>
          <w:rStyle w:val="15"/>
          <w:rFonts w:hint="eastAsia" w:ascii="仿宋_GB2312" w:hAnsi="仿宋" w:eastAsia="仿宋_GB2312"/>
          <w:color w:val="000000"/>
          <w:sz w:val="32"/>
          <w:szCs w:val="32"/>
        </w:rPr>
        <w:t>其他行政事业单位医疗支出</w:t>
      </w:r>
      <w:r>
        <w:rPr>
          <w:rStyle w:val="15"/>
          <w:rFonts w:hint="eastAsia" w:ascii="仿宋_GB2312" w:hAnsi="仿宋" w:eastAsia="仿宋_GB2312"/>
          <w:sz w:val="32"/>
          <w:szCs w:val="32"/>
        </w:rPr>
        <w:t>（项）</w:t>
      </w:r>
      <w:r>
        <w:rPr>
          <w:rStyle w:val="15"/>
          <w:rFonts w:hint="eastAsia" w:ascii="仿宋_GB2312" w:hAnsi="仿宋" w:eastAsia="仿宋_GB2312"/>
          <w:color w:val="000000"/>
          <w:sz w:val="32"/>
          <w:szCs w:val="32"/>
        </w:rPr>
        <w:t>：</w:t>
      </w:r>
      <w:r>
        <w:rPr>
          <w:rStyle w:val="15"/>
          <w:rFonts w:hint="eastAsia" w:ascii="仿宋_GB2312" w:hAnsi="仿宋" w:eastAsia="仿宋_GB2312"/>
          <w:b w:val="0"/>
          <w:bCs/>
          <w:color w:val="000000"/>
          <w:sz w:val="32"/>
          <w:szCs w:val="32"/>
        </w:rPr>
        <w:t>支出决算为</w:t>
      </w:r>
      <w:r>
        <w:rPr>
          <w:rStyle w:val="15"/>
          <w:rFonts w:hint="eastAsia" w:ascii="仿宋_GB2312" w:hAnsi="仿宋" w:eastAsia="仿宋_GB2312"/>
          <w:b w:val="0"/>
          <w:bCs/>
          <w:color w:val="000000"/>
          <w:sz w:val="32"/>
          <w:szCs w:val="32"/>
          <w:lang w:val="en-US" w:eastAsia="zh-CN"/>
        </w:rPr>
        <w:t>2.29</w:t>
      </w:r>
      <w:r>
        <w:rPr>
          <w:rStyle w:val="15"/>
          <w:rFonts w:hint="eastAsia" w:ascii="仿宋_GB2312" w:hAnsi="仿宋" w:eastAsia="仿宋_GB2312"/>
          <w:b w:val="0"/>
          <w:bCs/>
          <w:color w:val="000000"/>
          <w:sz w:val="32"/>
          <w:szCs w:val="32"/>
        </w:rPr>
        <w:t>万元，完成预算</w:t>
      </w:r>
      <w:r>
        <w:rPr>
          <w:rStyle w:val="15"/>
          <w:rFonts w:ascii="仿宋_GB2312" w:hAnsi="仿宋" w:eastAsia="仿宋_GB2312"/>
          <w:b w:val="0"/>
          <w:bCs/>
          <w:color w:val="000000"/>
          <w:sz w:val="32"/>
          <w:szCs w:val="32"/>
        </w:rPr>
        <w:t>100%</w:t>
      </w:r>
      <w:r>
        <w:rPr>
          <w:rFonts w:hint="eastAsia" w:ascii="仿宋_GB2312" w:hAnsi="仿宋" w:eastAsia="仿宋_GB2312"/>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_GB2312" w:hAnsi="仿宋" w:eastAsia="仿宋_GB2312"/>
          <w:color w:val="000000"/>
          <w:sz w:val="32"/>
          <w:szCs w:val="32"/>
          <w:lang w:val="en-US" w:eastAsia="zh-CN"/>
        </w:rPr>
        <w:t>10</w:t>
      </w:r>
      <w:r>
        <w:rPr>
          <w:rStyle w:val="15"/>
          <w:rFonts w:ascii="仿宋_GB2312" w:hAnsi="仿宋" w:eastAsia="仿宋_GB2312"/>
          <w:color w:val="000000"/>
          <w:sz w:val="32"/>
          <w:szCs w:val="32"/>
        </w:rPr>
        <w:t xml:space="preserve">. </w:t>
      </w:r>
      <w:r>
        <w:rPr>
          <w:rStyle w:val="15"/>
          <w:rFonts w:hint="eastAsia" w:ascii="仿宋_GB2312" w:hAnsi="仿宋" w:eastAsia="仿宋_GB2312"/>
          <w:color w:val="000000"/>
          <w:sz w:val="32"/>
          <w:szCs w:val="32"/>
        </w:rPr>
        <w:t>住房保障支出</w:t>
      </w:r>
      <w:r>
        <w:rPr>
          <w:rStyle w:val="15"/>
          <w:rFonts w:hint="eastAsia" w:ascii="仿宋_GB2312" w:hAnsi="仿宋" w:eastAsia="仿宋_GB2312"/>
          <w:sz w:val="32"/>
          <w:szCs w:val="32"/>
        </w:rPr>
        <w:t>（类）</w:t>
      </w:r>
      <w:r>
        <w:rPr>
          <w:rStyle w:val="15"/>
          <w:rFonts w:hint="eastAsia" w:ascii="仿宋_GB2312" w:hAnsi="仿宋" w:eastAsia="仿宋_GB2312"/>
          <w:color w:val="000000"/>
          <w:sz w:val="32"/>
          <w:szCs w:val="32"/>
        </w:rPr>
        <w:t>住房改革支出</w:t>
      </w:r>
      <w:r>
        <w:rPr>
          <w:rStyle w:val="15"/>
          <w:rFonts w:hint="eastAsia" w:ascii="仿宋_GB2312" w:hAnsi="仿宋" w:eastAsia="仿宋_GB2312"/>
          <w:sz w:val="32"/>
          <w:szCs w:val="32"/>
        </w:rPr>
        <w:t>（款）</w:t>
      </w:r>
      <w:r>
        <w:rPr>
          <w:rStyle w:val="15"/>
          <w:rFonts w:hint="eastAsia" w:ascii="仿宋_GB2312" w:hAnsi="仿宋" w:eastAsia="仿宋_GB2312"/>
          <w:color w:val="000000"/>
          <w:sz w:val="32"/>
          <w:szCs w:val="32"/>
        </w:rPr>
        <w:t>住房公积金</w:t>
      </w:r>
      <w:r>
        <w:rPr>
          <w:rStyle w:val="15"/>
          <w:rFonts w:hint="eastAsia" w:ascii="仿宋_GB2312" w:hAnsi="仿宋" w:eastAsia="仿宋_GB2312"/>
          <w:sz w:val="32"/>
          <w:szCs w:val="32"/>
        </w:rPr>
        <w:t>（项）</w:t>
      </w:r>
      <w:r>
        <w:rPr>
          <w:rStyle w:val="15"/>
          <w:rFonts w:ascii="仿宋_GB2312" w:hAnsi="仿宋" w:eastAsia="仿宋_GB2312"/>
          <w:color w:val="000000"/>
          <w:sz w:val="32"/>
          <w:szCs w:val="32"/>
        </w:rPr>
        <w:t>:</w:t>
      </w:r>
      <w:r>
        <w:rPr>
          <w:rStyle w:val="15"/>
          <w:rFonts w:hint="eastAsia" w:ascii="仿宋_GB2312" w:hAnsi="仿宋" w:eastAsia="仿宋_GB2312"/>
          <w:b w:val="0"/>
          <w:bCs/>
          <w:color w:val="000000"/>
          <w:sz w:val="32"/>
          <w:szCs w:val="32"/>
        </w:rPr>
        <w:t>支出决算为</w:t>
      </w:r>
      <w:r>
        <w:rPr>
          <w:rStyle w:val="15"/>
          <w:rFonts w:hint="eastAsia" w:ascii="仿宋_GB2312" w:hAnsi="仿宋" w:eastAsia="仿宋_GB2312"/>
          <w:b w:val="0"/>
          <w:bCs/>
          <w:color w:val="000000"/>
          <w:sz w:val="32"/>
          <w:szCs w:val="32"/>
          <w:lang w:val="en-US" w:eastAsia="zh-CN"/>
        </w:rPr>
        <w:t>11.86</w:t>
      </w:r>
      <w:r>
        <w:rPr>
          <w:rStyle w:val="15"/>
          <w:rFonts w:hint="eastAsia" w:ascii="仿宋_GB2312" w:hAnsi="仿宋" w:eastAsia="仿宋_GB2312"/>
          <w:b w:val="0"/>
          <w:bCs/>
          <w:color w:val="000000"/>
          <w:sz w:val="32"/>
          <w:szCs w:val="32"/>
        </w:rPr>
        <w:t>万元，完成预算</w:t>
      </w:r>
      <w:r>
        <w:rPr>
          <w:rStyle w:val="15"/>
          <w:rFonts w:ascii="仿宋_GB2312" w:hAnsi="仿宋" w:eastAsia="仿宋_GB2312"/>
          <w:b w:val="0"/>
          <w:bCs/>
          <w:color w:val="000000"/>
          <w:sz w:val="32"/>
          <w:szCs w:val="32"/>
        </w:rPr>
        <w:t>100%</w:t>
      </w:r>
      <w:r>
        <w:rPr>
          <w:rFonts w:hint="eastAsia" w:ascii="仿宋_GB2312" w:hAnsi="仿宋" w:eastAsia="仿宋_GB2312"/>
          <w:sz w:val="32"/>
          <w:szCs w:val="32"/>
        </w:rPr>
        <w:t>。</w:t>
      </w:r>
      <w:r>
        <w:rPr>
          <w:rStyle w:val="15"/>
          <w:rFonts w:ascii="仿宋_GB2312" w:hAnsi="仿宋" w:eastAsia="仿宋_GB2312"/>
          <w:b w:val="0"/>
          <w:bCs/>
          <w:color w:val="000000"/>
          <w:sz w:val="32"/>
          <w:szCs w:val="32"/>
        </w:rPr>
        <w:t xml:space="preserve">  </w:t>
      </w:r>
    </w:p>
    <w:p>
      <w:pPr>
        <w:tabs>
          <w:tab w:val="right" w:pos="8306"/>
        </w:tabs>
        <w:spacing w:line="600" w:lineRule="exact"/>
        <w:ind w:firstLine="640"/>
        <w:outlineLvl w:val="1"/>
        <w:rPr>
          <w:rStyle w:val="26"/>
        </w:rPr>
      </w:pPr>
      <w:bookmarkStart w:id="49" w:name="_Toc15396608"/>
      <w:bookmarkStart w:id="50" w:name="_Toc15377214"/>
      <w:bookmarkStart w:id="51" w:name="_Toc15896"/>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9"/>
      <w:bookmarkEnd w:id="50"/>
      <w:bookmarkEnd w:id="51"/>
      <w:r>
        <w:rPr>
          <w:rStyle w:val="26"/>
          <w:rFonts w:ascii="黑体" w:hAnsi="黑体" w:eastAsia="黑体"/>
          <w:b w:val="0"/>
        </w:rPr>
        <w:tab/>
      </w:r>
    </w:p>
    <w:p>
      <w:pPr>
        <w:spacing w:line="600" w:lineRule="exact"/>
        <w:ind w:firstLine="640" w:firstLineChars="200"/>
        <w:rPr>
          <w:rStyle w:val="15"/>
          <w:rFonts w:hint="eastAsia" w:ascii="仿宋_GB2312" w:hAnsi="仿宋" w:eastAsia="仿宋_GB2312" w:cs="Times New Roman"/>
          <w:b w:val="0"/>
          <w:bCs/>
          <w:color w:val="000000"/>
          <w:sz w:val="32"/>
          <w:szCs w:val="32"/>
        </w:rPr>
      </w:pPr>
      <w:bookmarkStart w:id="52" w:name="_Toc15396609"/>
      <w:bookmarkStart w:id="53" w:name="_Toc15377215"/>
      <w:r>
        <w:rPr>
          <w:rStyle w:val="15"/>
          <w:rFonts w:hint="eastAsia" w:ascii="仿宋_GB2312" w:hAnsi="仿宋" w:eastAsia="仿宋_GB2312" w:cs="Times New Roman"/>
          <w:b w:val="0"/>
          <w:bCs/>
          <w:color w:val="000000"/>
          <w:sz w:val="32"/>
          <w:szCs w:val="32"/>
          <w:rtl w:val="0"/>
        </w:rPr>
        <w:t>2019年一般公共预算财政拨款基本支出217.79万元，其中：</w:t>
      </w:r>
    </w:p>
    <w:p>
      <w:pPr>
        <w:spacing w:line="600" w:lineRule="exact"/>
        <w:ind w:firstLine="640" w:firstLineChars="200"/>
        <w:rPr>
          <w:rStyle w:val="15"/>
          <w:rFonts w:hint="eastAsia" w:ascii="仿宋_GB2312" w:hAnsi="仿宋" w:eastAsia="仿宋_GB2312"/>
          <w:b w:val="0"/>
          <w:bCs/>
          <w:color w:val="000000"/>
          <w:sz w:val="32"/>
          <w:szCs w:val="32"/>
          <w:lang w:eastAsia="zh-CN"/>
        </w:rPr>
      </w:pPr>
      <w:r>
        <w:rPr>
          <w:rStyle w:val="15"/>
          <w:rFonts w:hint="eastAsia" w:ascii="仿宋_GB2312" w:hAnsi="仿宋" w:eastAsia="仿宋_GB2312"/>
          <w:b w:val="0"/>
          <w:bCs/>
          <w:color w:val="000000"/>
          <w:sz w:val="32"/>
          <w:szCs w:val="32"/>
        </w:rPr>
        <w:t>人员经费</w:t>
      </w:r>
      <w:r>
        <w:rPr>
          <w:rStyle w:val="15"/>
          <w:rFonts w:hint="eastAsia" w:ascii="仿宋_GB2312" w:hAnsi="仿宋" w:eastAsia="仿宋_GB2312"/>
          <w:b w:val="0"/>
          <w:bCs/>
          <w:color w:val="000000"/>
          <w:sz w:val="32"/>
          <w:szCs w:val="32"/>
          <w:rtl w:val="0"/>
        </w:rPr>
        <w:t>197.74</w:t>
      </w:r>
      <w:r>
        <w:rPr>
          <w:rStyle w:val="15"/>
          <w:rFonts w:hint="eastAsia" w:ascii="仿宋_GB2312" w:hAnsi="仿宋" w:eastAsia="仿宋_GB2312"/>
          <w:b w:val="0"/>
          <w:bCs/>
          <w:color w:val="000000"/>
          <w:sz w:val="32"/>
          <w:szCs w:val="32"/>
        </w:rPr>
        <w:t>万元，主要包括：基本工资43.73万元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津贴补贴35.77</w:t>
      </w:r>
      <w:r>
        <w:rPr>
          <w:rStyle w:val="15"/>
          <w:rFonts w:hint="eastAsia" w:ascii="仿宋_GB2312" w:hAnsi="仿宋" w:eastAsia="仿宋_GB2312"/>
          <w:b w:val="0"/>
          <w:bCs/>
          <w:color w:val="000000"/>
          <w:sz w:val="32"/>
          <w:szCs w:val="32"/>
        </w:rPr>
        <w:tab/>
      </w:r>
      <w:r>
        <w:rPr>
          <w:rStyle w:val="15"/>
          <w:rFonts w:hint="eastAsia" w:ascii="仿宋_GB2312" w:hAnsi="仿宋" w:eastAsia="仿宋_GB2312"/>
          <w:b w:val="0"/>
          <w:bCs/>
          <w:color w:val="000000"/>
          <w:sz w:val="32"/>
          <w:szCs w:val="32"/>
        </w:rPr>
        <w:t>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绩效工资29.95万元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机关事业单位基本养老保险费13.00万元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职业年金缴费6.00万元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职工基本医疗保险缴费6.91万元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其他社会保障缴费</w:t>
      </w:r>
      <w:r>
        <w:rPr>
          <w:rStyle w:val="15"/>
          <w:rFonts w:hint="eastAsia" w:ascii="仿宋_GB2312" w:hAnsi="仿宋" w:eastAsia="仿宋_GB2312"/>
          <w:b w:val="0"/>
          <w:bCs/>
          <w:color w:val="000000"/>
          <w:sz w:val="32"/>
          <w:szCs w:val="32"/>
        </w:rPr>
        <w:tab/>
      </w:r>
      <w:r>
        <w:rPr>
          <w:rStyle w:val="15"/>
          <w:rFonts w:hint="eastAsia" w:ascii="仿宋_GB2312" w:hAnsi="仿宋" w:eastAsia="仿宋_GB2312"/>
          <w:b w:val="0"/>
          <w:bCs/>
          <w:color w:val="000000"/>
          <w:sz w:val="32"/>
          <w:szCs w:val="32"/>
        </w:rPr>
        <w:t>4.08万元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住房公积金11.86万元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医疗费</w:t>
      </w:r>
      <w:r>
        <w:rPr>
          <w:rStyle w:val="15"/>
          <w:rFonts w:hint="eastAsia" w:ascii="仿宋_GB2312" w:hAnsi="仿宋" w:eastAsia="仿宋_GB2312"/>
          <w:b w:val="0"/>
          <w:bCs/>
          <w:color w:val="000000"/>
          <w:sz w:val="32"/>
          <w:szCs w:val="32"/>
        </w:rPr>
        <w:tab/>
      </w:r>
      <w:r>
        <w:rPr>
          <w:rStyle w:val="15"/>
          <w:rFonts w:hint="eastAsia" w:ascii="仿宋_GB2312" w:hAnsi="仿宋" w:eastAsia="仿宋_GB2312"/>
          <w:b w:val="0"/>
          <w:bCs/>
          <w:color w:val="000000"/>
          <w:sz w:val="32"/>
          <w:szCs w:val="32"/>
        </w:rPr>
        <w:t>2.08万元</w:t>
      </w:r>
      <w:r>
        <w:rPr>
          <w:rStyle w:val="15"/>
          <w:rFonts w:hint="eastAsia" w:ascii="仿宋_GB2312" w:hAnsi="仿宋" w:eastAsia="仿宋_GB2312"/>
          <w:b w:val="0"/>
          <w:bCs/>
          <w:color w:val="000000"/>
          <w:sz w:val="32"/>
          <w:szCs w:val="32"/>
          <w:lang w:eastAsia="zh-CN"/>
        </w:rPr>
        <w:t>、离休费24.05</w:t>
      </w:r>
      <w:r>
        <w:rPr>
          <w:rStyle w:val="15"/>
          <w:rFonts w:hint="eastAsia" w:ascii="仿宋_GB2312" w:hAnsi="仿宋" w:eastAsia="仿宋_GB2312"/>
          <w:b w:val="0"/>
          <w:bCs/>
          <w:color w:val="000000"/>
          <w:sz w:val="32"/>
          <w:szCs w:val="32"/>
        </w:rPr>
        <w:t>万元</w:t>
      </w:r>
      <w:r>
        <w:rPr>
          <w:rStyle w:val="15"/>
          <w:rFonts w:hint="eastAsia" w:ascii="仿宋_GB2312" w:hAnsi="仿宋" w:eastAsia="仿宋_GB2312"/>
          <w:b w:val="0"/>
          <w:bCs/>
          <w:color w:val="000000"/>
          <w:sz w:val="32"/>
          <w:szCs w:val="32"/>
          <w:lang w:eastAsia="zh-CN"/>
        </w:rPr>
        <w:t>、生活补助20.31</w:t>
      </w:r>
      <w:r>
        <w:rPr>
          <w:rStyle w:val="15"/>
          <w:rFonts w:hint="eastAsia" w:ascii="仿宋_GB2312" w:hAnsi="仿宋" w:eastAsia="仿宋_GB2312"/>
          <w:b w:val="0"/>
          <w:bCs/>
          <w:color w:val="000000"/>
          <w:sz w:val="32"/>
          <w:szCs w:val="32"/>
        </w:rPr>
        <w:t>万元</w:t>
      </w:r>
      <w:r>
        <w:rPr>
          <w:rStyle w:val="15"/>
          <w:rFonts w:hint="eastAsia" w:ascii="仿宋_GB2312" w:hAnsi="仿宋" w:eastAsia="仿宋_GB2312"/>
          <w:b w:val="0"/>
          <w:bCs/>
          <w:color w:val="000000"/>
          <w:sz w:val="32"/>
          <w:szCs w:val="32"/>
          <w:lang w:eastAsia="zh-CN"/>
        </w:rPr>
        <w:t>。</w:t>
      </w:r>
    </w:p>
    <w:p>
      <w:pPr>
        <w:spacing w:line="600" w:lineRule="exact"/>
        <w:ind w:firstLine="640" w:firstLineChars="200"/>
        <w:rPr>
          <w:rStyle w:val="15"/>
          <w:rFonts w:hint="eastAsia" w:ascii="仿宋_GB2312" w:hAnsi="仿宋" w:eastAsia="仿宋_GB2312"/>
          <w:b w:val="0"/>
          <w:bCs/>
          <w:color w:val="000000"/>
          <w:sz w:val="32"/>
          <w:szCs w:val="32"/>
          <w:lang w:eastAsia="zh-CN"/>
        </w:rPr>
      </w:pPr>
      <w:r>
        <w:rPr>
          <w:rStyle w:val="15"/>
          <w:rFonts w:hint="eastAsia" w:ascii="仿宋_GB2312" w:hAnsi="仿宋" w:eastAsia="仿宋_GB2312"/>
          <w:b w:val="0"/>
          <w:bCs/>
          <w:color w:val="000000"/>
          <w:sz w:val="32"/>
          <w:szCs w:val="32"/>
        </w:rPr>
        <w:t>公用经费</w:t>
      </w:r>
      <w:r>
        <w:rPr>
          <w:rStyle w:val="15"/>
          <w:rFonts w:hint="eastAsia" w:ascii="仿宋_GB2312" w:hAnsi="仿宋" w:eastAsia="仿宋_GB2312"/>
          <w:b w:val="0"/>
          <w:bCs/>
          <w:color w:val="000000"/>
          <w:sz w:val="32"/>
          <w:szCs w:val="32"/>
          <w:rtl w:val="0"/>
        </w:rPr>
        <w:t>20.04</w:t>
      </w:r>
      <w:r>
        <w:rPr>
          <w:rStyle w:val="15"/>
          <w:rFonts w:hint="eastAsia" w:ascii="仿宋_GB2312" w:hAnsi="仿宋" w:eastAsia="仿宋_GB2312"/>
          <w:b w:val="0"/>
          <w:bCs/>
          <w:color w:val="000000"/>
          <w:sz w:val="32"/>
          <w:szCs w:val="32"/>
        </w:rPr>
        <w:t>万元，主要包括：办公费0.95万元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手续费0.20万元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电费0.30万元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邮电费4.33万元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差旅费4.69万元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维修（护）费0.41万元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培训费</w:t>
      </w:r>
      <w:r>
        <w:rPr>
          <w:rStyle w:val="15"/>
          <w:rFonts w:hint="eastAsia" w:ascii="仿宋_GB2312" w:hAnsi="仿宋" w:eastAsia="仿宋_GB2312"/>
          <w:b w:val="0"/>
          <w:bCs/>
          <w:color w:val="000000"/>
          <w:sz w:val="32"/>
          <w:szCs w:val="32"/>
        </w:rPr>
        <w:tab/>
      </w:r>
      <w:r>
        <w:rPr>
          <w:rStyle w:val="15"/>
          <w:rFonts w:hint="eastAsia" w:ascii="仿宋_GB2312" w:hAnsi="仿宋" w:eastAsia="仿宋_GB2312"/>
          <w:b w:val="0"/>
          <w:bCs/>
          <w:color w:val="000000"/>
          <w:sz w:val="32"/>
          <w:szCs w:val="32"/>
        </w:rPr>
        <w:t>0.56万元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公务接待费0.25万元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劳务费2.04万元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委托业务费0.71万元</w:t>
      </w:r>
      <w:r>
        <w:rPr>
          <w:rStyle w:val="15"/>
          <w:rFonts w:hint="eastAsia" w:ascii="仿宋_GB2312" w:hAnsi="仿宋" w:eastAsia="仿宋_GB2312"/>
          <w:b w:val="0"/>
          <w:bCs/>
          <w:color w:val="000000"/>
          <w:sz w:val="32"/>
          <w:szCs w:val="32"/>
          <w:lang w:eastAsia="zh-CN"/>
        </w:rPr>
        <w:t>、</w:t>
      </w:r>
      <w:r>
        <w:rPr>
          <w:rStyle w:val="15"/>
          <w:rFonts w:hint="eastAsia" w:ascii="仿宋_GB2312" w:hAnsi="仿宋" w:eastAsia="仿宋_GB2312"/>
          <w:b w:val="0"/>
          <w:bCs/>
          <w:color w:val="000000"/>
          <w:sz w:val="32"/>
          <w:szCs w:val="32"/>
        </w:rPr>
        <w:t>其他交通费用5.60万元</w:t>
      </w:r>
      <w:r>
        <w:rPr>
          <w:rStyle w:val="15"/>
          <w:rFonts w:hint="eastAsia" w:ascii="仿宋_GB2312" w:hAnsi="仿宋" w:eastAsia="仿宋_GB2312"/>
          <w:b w:val="0"/>
          <w:bCs/>
          <w:color w:val="000000"/>
          <w:sz w:val="32"/>
          <w:szCs w:val="32"/>
          <w:lang w:eastAsia="zh-CN"/>
        </w:rPr>
        <w:t>。</w:t>
      </w:r>
    </w:p>
    <w:p>
      <w:pPr>
        <w:spacing w:line="600" w:lineRule="exact"/>
        <w:ind w:firstLine="640"/>
        <w:outlineLvl w:val="1"/>
        <w:rPr>
          <w:rStyle w:val="26"/>
          <w:rFonts w:ascii="黑体" w:hAnsi="黑体" w:eastAsia="黑体"/>
          <w:b w:val="0"/>
        </w:rPr>
      </w:pPr>
      <w:bookmarkStart w:id="54" w:name="_Toc28700"/>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2"/>
      <w:bookmarkEnd w:id="53"/>
      <w:bookmarkEnd w:id="54"/>
    </w:p>
    <w:p>
      <w:pPr>
        <w:spacing w:line="600" w:lineRule="exact"/>
        <w:ind w:firstLine="640"/>
        <w:outlineLvl w:val="2"/>
        <w:rPr>
          <w:rFonts w:ascii="仿宋" w:hAnsi="仿宋" w:eastAsia="仿宋"/>
          <w:b/>
          <w:color w:val="000000"/>
          <w:sz w:val="32"/>
          <w:szCs w:val="32"/>
        </w:rPr>
      </w:pPr>
      <w:bookmarkStart w:id="55" w:name="_Toc15377216"/>
      <w:r>
        <w:rPr>
          <w:rFonts w:hint="eastAsia" w:ascii="仿宋" w:hAnsi="仿宋" w:eastAsia="仿宋"/>
          <w:b/>
          <w:color w:val="000000"/>
          <w:sz w:val="32"/>
          <w:szCs w:val="32"/>
        </w:rPr>
        <w:t>（一）“三公”经费财政拨款支出决算总体情况说明</w:t>
      </w:r>
      <w:bookmarkEnd w:id="55"/>
    </w:p>
    <w:p>
      <w:pPr>
        <w:spacing w:line="600" w:lineRule="exact"/>
        <w:ind w:firstLine="640" w:firstLineChars="200"/>
        <w:rPr>
          <w:rStyle w:val="15"/>
          <w:rFonts w:hint="eastAsia" w:ascii="仿宋_GB2312" w:hAnsi="仿宋" w:eastAsia="仿宋_GB2312"/>
          <w:b w:val="0"/>
          <w:bCs/>
          <w:color w:val="000000"/>
          <w:sz w:val="32"/>
          <w:szCs w:val="32"/>
        </w:rPr>
      </w:pPr>
      <w:r>
        <w:rPr>
          <w:rStyle w:val="15"/>
          <w:rFonts w:hint="eastAsia" w:ascii="仿宋_GB2312" w:hAnsi="仿宋" w:eastAsia="仿宋_GB2312"/>
          <w:b w:val="0"/>
          <w:bCs/>
          <w:color w:val="000000"/>
          <w:sz w:val="32"/>
          <w:szCs w:val="32"/>
        </w:rPr>
        <w:t>2019年“三公”经费财政拨款支出决算为</w:t>
      </w:r>
      <w:r>
        <w:rPr>
          <w:rStyle w:val="15"/>
          <w:rFonts w:hint="eastAsia" w:ascii="仿宋_GB2312" w:hAnsi="仿宋" w:eastAsia="仿宋_GB2312"/>
          <w:b w:val="0"/>
          <w:bCs/>
          <w:color w:val="000000"/>
          <w:sz w:val="32"/>
          <w:szCs w:val="32"/>
          <w:lang w:val="en-US" w:eastAsia="zh-CN"/>
        </w:rPr>
        <w:t>0.25</w:t>
      </w:r>
      <w:r>
        <w:rPr>
          <w:rStyle w:val="15"/>
          <w:rFonts w:hint="eastAsia" w:ascii="仿宋_GB2312" w:hAnsi="仿宋" w:eastAsia="仿宋_GB2312"/>
          <w:b w:val="0"/>
          <w:bCs/>
          <w:color w:val="000000"/>
          <w:sz w:val="32"/>
          <w:szCs w:val="32"/>
        </w:rPr>
        <w:t>万元，完成预算</w:t>
      </w:r>
      <w:r>
        <w:rPr>
          <w:rStyle w:val="15"/>
          <w:rFonts w:hint="eastAsia" w:ascii="仿宋_GB2312" w:hAnsi="仿宋" w:eastAsia="仿宋_GB2312"/>
          <w:b w:val="0"/>
          <w:bCs/>
          <w:color w:val="000000"/>
          <w:sz w:val="32"/>
          <w:szCs w:val="32"/>
          <w:lang w:val="en-US" w:eastAsia="zh-CN"/>
        </w:rPr>
        <w:t>100</w:t>
      </w:r>
      <w:r>
        <w:rPr>
          <w:rStyle w:val="15"/>
          <w:rFonts w:hint="eastAsia" w:ascii="仿宋_GB2312" w:hAnsi="仿宋" w:eastAsia="仿宋_GB2312"/>
          <w:b w:val="0"/>
          <w:bCs/>
          <w:color w:val="000000"/>
          <w:sz w:val="32"/>
          <w:szCs w:val="32"/>
        </w:rPr>
        <w:t>%。</w:t>
      </w:r>
    </w:p>
    <w:p>
      <w:pPr>
        <w:spacing w:line="600" w:lineRule="exact"/>
        <w:ind w:firstLine="640"/>
        <w:outlineLvl w:val="2"/>
        <w:rPr>
          <w:rFonts w:ascii="仿宋" w:hAnsi="仿宋" w:eastAsia="仿宋"/>
          <w:b/>
          <w:color w:val="000000"/>
          <w:sz w:val="32"/>
          <w:szCs w:val="32"/>
        </w:rPr>
      </w:pPr>
      <w:bookmarkStart w:id="56" w:name="_Toc15377217"/>
      <w:r>
        <w:rPr>
          <w:rFonts w:hint="eastAsia" w:ascii="仿宋" w:hAnsi="仿宋" w:eastAsia="仿宋"/>
          <w:b/>
          <w:color w:val="000000"/>
          <w:sz w:val="32"/>
          <w:szCs w:val="32"/>
        </w:rPr>
        <w:t>（二）“三公”经费财政拨款支出决算具体情况说明</w:t>
      </w:r>
      <w:bookmarkEnd w:id="56"/>
    </w:p>
    <w:p>
      <w:pPr>
        <w:spacing w:line="600" w:lineRule="exact"/>
        <w:ind w:firstLine="640" w:firstLineChars="200"/>
        <w:jc w:val="left"/>
        <w:rPr>
          <w:rStyle w:val="14"/>
          <w:rFonts w:ascii="仿宋_GB2312" w:hAnsi="仿宋_GB2312" w:eastAsia="仿宋_GB2312" w:cs="仿宋_GB2312"/>
          <w:sz w:val="24"/>
          <w:szCs w:val="24"/>
          <w:rtl w:val="0"/>
        </w:rPr>
      </w:pPr>
      <w:r>
        <w:rPr>
          <w:rStyle w:val="15"/>
          <w:rFonts w:hint="eastAsia" w:ascii="仿宋_GB2312" w:hAnsi="仿宋" w:eastAsia="仿宋_GB2312" w:cs="Times New Roman"/>
          <w:b w:val="0"/>
          <w:bCs/>
          <w:color w:val="000000"/>
          <w:sz w:val="32"/>
          <w:szCs w:val="32"/>
          <w:rtl w:val="0"/>
        </w:rPr>
        <w:t>2019 年“三公”经费财政拨款支出决算中，因公出国（境）费支出决算0.00万元，占 0.00%；公务用车购置及运行维护费支出决算0.00万元，占 0.00%；公务接待费支出决算0.25万元，占 100%。具体情况如下：</w:t>
      </w:r>
    </w:p>
    <w:p>
      <w:pPr>
        <w:spacing w:line="600" w:lineRule="exact"/>
        <w:ind w:firstLine="420" w:firstLineChars="200"/>
        <w:jc w:val="center"/>
        <w:rPr>
          <w:rFonts w:hint="eastAsia" w:ascii="仿宋" w:hAnsi="仿宋" w:eastAsia="仿宋"/>
          <w:color w:val="000000"/>
          <w:sz w:val="32"/>
          <w:szCs w:val="32"/>
        </w:rPr>
      </w:pPr>
      <w:r>
        <w:drawing>
          <wp:anchor distT="0" distB="0" distL="114300" distR="114300" simplePos="0" relativeHeight="251666432" behindDoc="0" locked="0" layoutInCell="1" allowOverlap="1">
            <wp:simplePos x="0" y="0"/>
            <wp:positionH relativeFrom="column">
              <wp:posOffset>99060</wp:posOffset>
            </wp:positionH>
            <wp:positionV relativeFrom="paragraph">
              <wp:posOffset>7620</wp:posOffset>
            </wp:positionV>
            <wp:extent cx="5267960" cy="2409825"/>
            <wp:effectExtent l="0" t="0" r="5080" b="13335"/>
            <wp:wrapSquare wrapText="bothSides"/>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2"/>
                    <a:stretch>
                      <a:fillRect/>
                    </a:stretch>
                  </pic:blipFill>
                  <pic:spPr>
                    <a:xfrm>
                      <a:off x="0" y="0"/>
                      <a:ext cx="5267960" cy="2409825"/>
                    </a:xfrm>
                    <a:prstGeom prst="rect">
                      <a:avLst/>
                    </a:prstGeom>
                    <a:noFill/>
                    <a:ln>
                      <a:noFill/>
                    </a:ln>
                  </pic:spPr>
                </pic:pic>
              </a:graphicData>
            </a:graphic>
          </wp:anchor>
        </w:drawing>
      </w:r>
      <w:r>
        <w:rPr>
          <w:rStyle w:val="15"/>
          <w:rFonts w:hint="eastAsia" w:ascii="仿宋_GB2312" w:hAnsi="仿宋" w:eastAsia="仿宋_GB2312"/>
          <w:b w:val="0"/>
          <w:bCs/>
          <w:color w:val="000000"/>
          <w:sz w:val="32"/>
          <w:szCs w:val="32"/>
        </w:rPr>
        <w:t>图7：“三公”经费财政</w:t>
      </w:r>
      <w:r>
        <w:rPr>
          <w:rFonts w:hint="eastAsia" w:ascii="仿宋" w:hAnsi="仿宋" w:eastAsia="仿宋"/>
          <w:color w:val="000000"/>
          <w:sz w:val="32"/>
          <w:szCs w:val="32"/>
        </w:rPr>
        <w:t>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rtl w:val="0"/>
        </w:rPr>
        <w:t>截至2019年12月底，单位共有公务用车 0辆</w:t>
      </w:r>
      <w:r>
        <w:rPr>
          <w:rFonts w:hint="eastAsia" w:ascii="仿宋_GB2312" w:eastAsia="仿宋_GB2312"/>
          <w:color w:val="000000"/>
          <w:sz w:val="32"/>
          <w:szCs w:val="32"/>
          <w:rtl w:val="0"/>
          <w:lang w:eastAsia="zh-CN"/>
        </w:rPr>
        <w:t>。</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0.25</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0.15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37.5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2019年较2018年来单位检查、指导工作的单位减少</w:t>
      </w:r>
      <w:r>
        <w:rPr>
          <w:rFonts w:hint="eastAsia" w:ascii="仿宋_GB2312" w:eastAsia="仿宋_GB2312"/>
          <w:color w:val="333333"/>
          <w:sz w:val="32"/>
          <w:szCs w:val="32"/>
        </w:rPr>
        <w:t>。</w:t>
      </w:r>
      <w:r>
        <w:rPr>
          <w:rFonts w:hint="eastAsia" w:ascii="仿宋_GB2312" w:eastAsia="仿宋_GB2312"/>
          <w:color w:val="333333"/>
          <w:sz w:val="32"/>
          <w:szCs w:val="32"/>
          <w:lang w:eastAsia="zh-CN"/>
        </w:rPr>
        <w:t>其中：</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0.25</w:t>
      </w:r>
      <w:r>
        <w:rPr>
          <w:rFonts w:hint="eastAsia" w:ascii="仿宋_GB2312" w:eastAsia="仿宋_GB2312"/>
          <w:color w:val="000000"/>
          <w:sz w:val="32"/>
          <w:szCs w:val="32"/>
        </w:rPr>
        <w:t>万元，主要用于执行公务、开展业务活动开支的用餐费。国内公务接待</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35</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0.</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上级主管部门、</w:t>
      </w:r>
      <w:r>
        <w:rPr>
          <w:rFonts w:hint="eastAsia" w:ascii="仿宋_GB2312" w:eastAsia="仿宋_GB2312"/>
          <w:color w:val="333333"/>
          <w:sz w:val="32"/>
          <w:szCs w:val="32"/>
        </w:rPr>
        <w:t>项目合作单位</w:t>
      </w:r>
      <w:r>
        <w:rPr>
          <w:rFonts w:hint="eastAsia" w:ascii="仿宋_GB2312" w:eastAsia="仿宋_GB2312"/>
          <w:color w:val="333333"/>
          <w:sz w:val="32"/>
          <w:szCs w:val="32"/>
          <w:lang w:eastAsia="zh-CN"/>
        </w:rPr>
        <w:t>来单位接洽工作</w:t>
      </w:r>
      <w:r>
        <w:rPr>
          <w:rFonts w:hint="eastAsia" w:ascii="仿宋_GB2312" w:eastAsia="仿宋_GB2312"/>
          <w:color w:val="333333"/>
          <w:sz w:val="32"/>
          <w:szCs w:val="32"/>
        </w:rPr>
        <w:t>时接待用餐</w:t>
      </w:r>
      <w:r>
        <w:rPr>
          <w:rFonts w:hint="eastAsia" w:ascii="仿宋_GB2312" w:eastAsia="仿宋_GB2312"/>
          <w:color w:val="333333"/>
          <w:sz w:val="32"/>
          <w:szCs w:val="32"/>
          <w:lang w:eastAsia="zh-CN"/>
        </w:rPr>
        <w:t>费</w:t>
      </w:r>
      <w:r>
        <w:rPr>
          <w:rFonts w:hint="eastAsia" w:ascii="仿宋_GB2312" w:eastAsia="仿宋_GB2312"/>
          <w:color w:val="000000"/>
          <w:sz w:val="32"/>
          <w:szCs w:val="32"/>
        </w:rPr>
        <w:t>。</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57" w:name="_Toc15396610"/>
      <w:bookmarkStart w:id="58" w:name="_Toc15377218"/>
    </w:p>
    <w:p>
      <w:pPr>
        <w:spacing w:line="600" w:lineRule="exact"/>
        <w:ind w:firstLine="640"/>
        <w:outlineLvl w:val="1"/>
        <w:rPr>
          <w:rStyle w:val="26"/>
          <w:rFonts w:ascii="黑体" w:hAnsi="黑体" w:eastAsia="黑体"/>
        </w:rPr>
      </w:pPr>
      <w:bookmarkStart w:id="59" w:name="_Toc12986"/>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57"/>
      <w:bookmarkEnd w:id="58"/>
      <w:bookmarkEnd w:id="5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6"/>
          <w:rFonts w:ascii="黑体" w:hAnsi="黑体" w:eastAsia="黑体"/>
          <w:b w:val="0"/>
        </w:rPr>
      </w:pPr>
      <w:bookmarkStart w:id="60" w:name="_Toc15377219"/>
      <w:bookmarkStart w:id="61" w:name="_Toc32341"/>
      <w:bookmarkStart w:id="62" w:name="_Toc15396611"/>
      <w:r>
        <w:rPr>
          <w:rStyle w:val="26"/>
          <w:rFonts w:hint="eastAsia" w:ascii="黑体" w:hAnsi="黑体" w:eastAsia="黑体"/>
          <w:b w:val="0"/>
        </w:rPr>
        <w:t>国有资本经营预算支出决算情况说明</w:t>
      </w:r>
      <w:bookmarkEnd w:id="60"/>
      <w:bookmarkEnd w:id="61"/>
      <w:bookmarkEnd w:id="62"/>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rPr>
      </w:pPr>
      <w:bookmarkStart w:id="63" w:name="_Toc15396612"/>
      <w:bookmarkStart w:id="64" w:name="_Toc15377221"/>
      <w:bookmarkStart w:id="65" w:name="_Toc18640"/>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63"/>
      <w:bookmarkEnd w:id="64"/>
      <w:bookmarkEnd w:id="65"/>
    </w:p>
    <w:p>
      <w:pPr>
        <w:spacing w:line="600" w:lineRule="exact"/>
        <w:ind w:firstLine="643" w:firstLineChars="200"/>
        <w:outlineLvl w:val="2"/>
        <w:rPr>
          <w:rFonts w:ascii="仿宋" w:hAnsi="仿宋" w:eastAsia="仿宋"/>
          <w:color w:val="000000"/>
          <w:sz w:val="32"/>
          <w:szCs w:val="32"/>
        </w:rPr>
      </w:pPr>
      <w:bookmarkStart w:id="66" w:name="_Toc15377222"/>
      <w:r>
        <w:rPr>
          <w:rFonts w:hint="eastAsia" w:ascii="仿宋" w:hAnsi="仿宋" w:eastAsia="仿宋"/>
          <w:b/>
          <w:color w:val="000000"/>
          <w:sz w:val="32"/>
          <w:szCs w:val="32"/>
        </w:rPr>
        <w:t>（一）机关运行经费支出情况</w:t>
      </w:r>
      <w:bookmarkEnd w:id="66"/>
    </w:p>
    <w:p>
      <w:pPr>
        <w:spacing w:line="60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与</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w:t>
      </w:r>
      <w:r>
        <w:rPr>
          <w:rFonts w:hint="eastAsia" w:ascii="仿宋_GB2312" w:eastAsia="仿宋_GB2312"/>
          <w:color w:val="000000"/>
          <w:sz w:val="32"/>
          <w:szCs w:val="32"/>
          <w:lang w:eastAsia="zh-CN"/>
        </w:rPr>
        <w:t>一致</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7" w:name="_Toc15377223"/>
      <w:r>
        <w:rPr>
          <w:rFonts w:hint="eastAsia" w:ascii="仿宋" w:hAnsi="仿宋" w:eastAsia="仿宋"/>
          <w:b/>
          <w:color w:val="000000"/>
          <w:sz w:val="32"/>
          <w:szCs w:val="32"/>
        </w:rPr>
        <w:t>（二）政府采购支出情况</w:t>
      </w:r>
      <w:bookmarkEnd w:id="67"/>
    </w:p>
    <w:p>
      <w:pPr>
        <w:spacing w:line="600" w:lineRule="exact"/>
        <w:ind w:firstLine="640" w:firstLineChars="200"/>
        <w:rPr>
          <w:rFonts w:ascii="仿宋" w:hAnsi="仿宋" w:eastAsia="仿宋"/>
          <w:b/>
          <w:color w:val="FF0000"/>
          <w:sz w:val="32"/>
          <w:szCs w:val="32"/>
        </w:rPr>
      </w:pPr>
      <w:r>
        <w:rPr>
          <w:rFonts w:hint="eastAsia" w:ascii="仿宋_GB2312" w:hAnsi="Times New Roman" w:eastAsia="仿宋_GB2312" w:cs="Times New Roman"/>
          <w:color w:val="000000"/>
          <w:sz w:val="32"/>
          <w:szCs w:val="32"/>
          <w:rtl w:val="0"/>
        </w:rPr>
        <w:t>2019 年四川省阿坝州自然资源与科技信息研究所（本级）政府采购支出总额2.10万元，其中：政府采购货物支出 2.10万元、政府采购工程支出0.00万元、政府采购服务支出0.00万元。主要用于</w:t>
      </w:r>
      <w:r>
        <w:rPr>
          <w:rFonts w:hint="eastAsia" w:ascii="仿宋_GB2312" w:eastAsia="仿宋_GB2312" w:cs="Times New Roman"/>
          <w:color w:val="000000"/>
          <w:sz w:val="32"/>
          <w:szCs w:val="32"/>
          <w:rtl w:val="0"/>
          <w:lang w:eastAsia="zh-CN"/>
        </w:rPr>
        <w:t>采购项目制作资料用</w:t>
      </w:r>
      <w:r>
        <w:rPr>
          <w:rFonts w:hint="eastAsia" w:ascii="仿宋_GB2312" w:eastAsia="仿宋_GB2312" w:cs="Times New Roman"/>
          <w:color w:val="000000"/>
          <w:sz w:val="32"/>
          <w:szCs w:val="32"/>
          <w:rtl w:val="0"/>
          <w:lang w:val="en-US" w:eastAsia="zh-CN"/>
        </w:rPr>
        <w:t>一体机1台</w:t>
      </w:r>
      <w:r>
        <w:rPr>
          <w:rFonts w:hint="eastAsia" w:ascii="仿宋_GB2312" w:hAnsi="Times New Roman" w:eastAsia="仿宋_GB2312" w:cs="Times New Roman"/>
          <w:color w:val="000000"/>
          <w:sz w:val="32"/>
          <w:szCs w:val="32"/>
          <w:rtl w:val="0"/>
        </w:rPr>
        <w:t>。授予中小企业合同金额2.10万元，占政府采购支出总额的100.00%，其中：授予小微企业合同金额2.10万元，占政府 采购支出总额的100.00%。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8" w:name="_Toc15377224"/>
      <w:r>
        <w:rPr>
          <w:rFonts w:hint="eastAsia" w:ascii="仿宋" w:hAnsi="仿宋" w:eastAsia="仿宋"/>
          <w:b/>
          <w:color w:val="000000"/>
          <w:sz w:val="32"/>
          <w:szCs w:val="32"/>
        </w:rPr>
        <w:t>（三）国有资产占有使用情况</w:t>
      </w:r>
      <w:bookmarkEnd w:id="68"/>
    </w:p>
    <w:p>
      <w:pPr>
        <w:spacing w:line="6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lang w:eastAsia="zh-Hans"/>
        </w:rPr>
        <w:t>截至2019年12月31日，</w:t>
      </w:r>
      <w:r>
        <w:rPr>
          <w:rFonts w:hint="eastAsia" w:ascii="仿宋_GB2312" w:eastAsia="仿宋_GB2312"/>
          <w:color w:val="000000"/>
          <w:sz w:val="32"/>
          <w:szCs w:val="32"/>
          <w:lang w:eastAsia="zh-CN"/>
        </w:rPr>
        <w:t>本所无公用</w:t>
      </w:r>
      <w:r>
        <w:rPr>
          <w:rFonts w:hint="eastAsia" w:ascii="仿宋_GB2312" w:eastAsia="仿宋_GB2312"/>
          <w:color w:val="000000"/>
          <w:sz w:val="32"/>
          <w:szCs w:val="32"/>
          <w:lang w:eastAsia="zh-Hans"/>
        </w:rPr>
        <w:t>车辆。单价50万元以上通用设备0台（套），单价100万元以上专用设备0台（套）。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根据预算绩效管理要求，本部门（单位）在年初预算编制阶段，组织对孵化中心管理运行费</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网络平台运行费项目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《阿坝论坛》出版经费项目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查新费项目开展了预算事前绩效评估，对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本部门较好的履行了</w:t>
      </w:r>
      <w:r>
        <w:rPr>
          <w:rFonts w:hint="eastAsia" w:ascii="仿宋_GB2312" w:hAnsi="仿宋" w:eastAsia="仿宋_GB2312"/>
          <w:sz w:val="32"/>
          <w:szCs w:val="32"/>
          <w:lang w:eastAsia="zh-CN"/>
        </w:rPr>
        <w:t>为</w:t>
      </w:r>
      <w:r>
        <w:rPr>
          <w:rFonts w:hint="eastAsia" w:ascii="仿宋_GB2312" w:hAnsi="仿宋" w:eastAsia="仿宋_GB2312"/>
          <w:sz w:val="32"/>
          <w:szCs w:val="32"/>
        </w:rPr>
        <w:t>全州自然资源与科技信息研究，产品研发，成果技术转化、推广，技术咨询服务，为阿坝州自然资源研究开发及科技信息产业发展服务</w:t>
      </w:r>
      <w:r>
        <w:rPr>
          <w:rFonts w:hint="eastAsia" w:ascii="仿宋_GB2312" w:hAnsi="仿宋" w:eastAsia="仿宋_GB2312"/>
          <w:sz w:val="32"/>
          <w:szCs w:val="32"/>
          <w:lang w:eastAsia="zh-CN"/>
        </w:rPr>
        <w:t>的职责。</w:t>
      </w:r>
      <w:r>
        <w:rPr>
          <w:rFonts w:hint="eastAsia" w:ascii="仿宋" w:hAnsi="仿宋" w:eastAsia="仿宋" w:cs="仿宋"/>
          <w:sz w:val="32"/>
          <w:szCs w:val="32"/>
          <w:lang w:eastAsia="zh-CN"/>
        </w:rPr>
        <w:t>参照州级部门支出绩效</w:t>
      </w:r>
      <w:r>
        <w:rPr>
          <w:rFonts w:hint="eastAsia" w:ascii="仿宋" w:hAnsi="仿宋" w:eastAsia="仿宋" w:cs="仿宋"/>
          <w:sz w:val="32"/>
          <w:szCs w:val="32"/>
        </w:rPr>
        <w:t>评价指标体系计算，</w:t>
      </w:r>
      <w:r>
        <w:rPr>
          <w:rFonts w:hint="eastAsia" w:ascii="仿宋" w:hAnsi="仿宋" w:eastAsia="仿宋" w:cs="仿宋"/>
          <w:sz w:val="32"/>
          <w:szCs w:val="32"/>
          <w:lang w:eastAsia="zh-CN"/>
        </w:rPr>
        <w:t>本单位</w:t>
      </w:r>
      <w:r>
        <w:rPr>
          <w:rFonts w:hint="eastAsia" w:ascii="仿宋" w:hAnsi="仿宋" w:eastAsia="仿宋" w:cs="仿宋"/>
          <w:sz w:val="32"/>
          <w:szCs w:val="32"/>
        </w:rPr>
        <w:t>部门整体支出绩效评价得分是：</w:t>
      </w:r>
      <w:r>
        <w:rPr>
          <w:rFonts w:hint="eastAsia" w:ascii="仿宋" w:hAnsi="仿宋" w:eastAsia="仿宋" w:cs="仿宋"/>
          <w:sz w:val="32"/>
          <w:szCs w:val="32"/>
          <w:lang w:val="en-US" w:eastAsia="zh-CN"/>
        </w:rPr>
        <w:t>76.38分。</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个项目支出绩效评价，从评价情况来看孵化中心管理运行费</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网络平台运行费项目</w:t>
      </w:r>
      <w:r>
        <w:rPr>
          <w:rFonts w:hint="eastAsia" w:ascii="仿宋_GB2312" w:hAnsi="仿宋_GB2312" w:eastAsia="仿宋_GB2312" w:cs="仿宋_GB2312"/>
          <w:sz w:val="32"/>
          <w:szCs w:val="32"/>
          <w:lang w:eastAsia="zh-CN"/>
        </w:rPr>
        <w:t>两个项目较好的完成年度目标任务；</w:t>
      </w:r>
      <w:r>
        <w:rPr>
          <w:rFonts w:hint="eastAsia" w:ascii="仿宋_GB2312" w:hAnsi="仿宋_GB2312" w:eastAsia="仿宋_GB2312" w:cs="仿宋_GB2312"/>
          <w:sz w:val="32"/>
          <w:szCs w:val="32"/>
          <w:highlight w:val="none"/>
        </w:rPr>
        <w:t>《阿坝论坛》出版经费</w:t>
      </w:r>
      <w:r>
        <w:rPr>
          <w:rFonts w:hint="eastAsia" w:ascii="仿宋_GB2312" w:hAnsi="仿宋_GB2312" w:eastAsia="仿宋_GB2312" w:cs="仿宋_GB2312"/>
          <w:sz w:val="32"/>
          <w:szCs w:val="32"/>
          <w:highlight w:val="none"/>
          <w:lang w:eastAsia="zh-CN"/>
        </w:rPr>
        <w:t>，由于《阿坝科技》和</w:t>
      </w:r>
      <w:r>
        <w:rPr>
          <w:rFonts w:hint="eastAsia" w:ascii="仿宋_GB2312" w:hAnsi="仿宋_GB2312" w:eastAsia="仿宋_GB2312" w:cs="仿宋_GB2312"/>
          <w:sz w:val="32"/>
          <w:szCs w:val="32"/>
          <w:highlight w:val="none"/>
          <w:lang w:val="en-US" w:eastAsia="zh-CN"/>
        </w:rPr>
        <w:t>《阿坝论坛》合刊后在项目预算编制上没有充分的论证，致使编制的预算部分资金不能全部发挥作用；</w:t>
      </w:r>
      <w:r>
        <w:rPr>
          <w:rFonts w:hint="eastAsia" w:ascii="仿宋_GB2312" w:hAnsi="仿宋_GB2312" w:eastAsia="仿宋_GB2312" w:cs="仿宋_GB2312"/>
          <w:sz w:val="32"/>
          <w:szCs w:val="32"/>
        </w:rPr>
        <w:t>查新费项目</w:t>
      </w:r>
      <w:r>
        <w:rPr>
          <w:rFonts w:hint="eastAsia" w:ascii="仿宋_GB2312" w:hAnsi="仿宋_GB2312" w:eastAsia="仿宋_GB2312" w:cs="仿宋_GB2312"/>
          <w:sz w:val="32"/>
          <w:szCs w:val="32"/>
          <w:lang w:eastAsia="zh-CN"/>
        </w:rPr>
        <w:t>由于今年来申报科研项目没有在要求必须提供查新材料，查新业务也较少。查新工作开展的少，致使预算结余资金较多。</w:t>
      </w:r>
    </w:p>
    <w:p>
      <w:pPr>
        <w:numPr>
          <w:ilvl w:val="0"/>
          <w:numId w:val="3"/>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孵化中心管理运行费</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网络平台运行费项目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《阿坝论坛》出版经费项目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查新费项目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个项目绩效目标实际完成情况。</w:t>
      </w:r>
    </w:p>
    <w:p>
      <w:pPr>
        <w:pStyle w:val="12"/>
        <w:widowControl/>
        <w:spacing w:beforeAutospacing="0" w:after="0" w:afterAutospacing="0" w:line="36" w:lineRule="atLeast"/>
        <w:ind w:left="0"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（1）孵化中心管理运行费</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绩效目标完成情况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孵化中心管理运营的正常进行和工作开展，19年新增入孵企业10家，在汶川为企业举行</w:t>
      </w:r>
      <w:r>
        <w:rPr>
          <w:rFonts w:hint="eastAsia" w:ascii="仿宋_GB2312" w:hAnsi="仿宋_GB2312" w:eastAsia="仿宋_GB2312" w:cs="仿宋_GB2312"/>
          <w:sz w:val="32"/>
          <w:szCs w:val="32"/>
        </w:rPr>
        <w:t>科技项目申报技巧、企业经营法律及税务风险防范相关讲座</w:t>
      </w:r>
      <w:r>
        <w:rPr>
          <w:rFonts w:hint="eastAsia" w:ascii="仿宋_GB2312" w:hAnsi="仿宋_GB2312" w:eastAsia="仿宋_GB2312" w:cs="仿宋_GB2312"/>
          <w:sz w:val="32"/>
          <w:szCs w:val="32"/>
          <w:lang w:eastAsia="zh-CN"/>
        </w:rPr>
        <w:t>。</w:t>
      </w:r>
    </w:p>
    <w:p>
      <w:pPr>
        <w:pStyle w:val="12"/>
        <w:widowControl/>
        <w:spacing w:beforeAutospacing="0" w:after="0" w:afterAutospacing="0" w:line="36" w:lineRule="atLeast"/>
        <w:ind w:left="0" w:right="0"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发现的主要问题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随着孵化中心入</w:t>
      </w:r>
      <w:r>
        <w:rPr>
          <w:rFonts w:hint="eastAsia" w:ascii="仿宋_GB2312" w:hAnsi="仿宋_GB2312" w:eastAsia="仿宋_GB2312" w:cs="仿宋_GB2312"/>
          <w:sz w:val="32"/>
          <w:szCs w:val="32"/>
        </w:rPr>
        <w:t>孵</w:t>
      </w:r>
      <w:r>
        <w:rPr>
          <w:rFonts w:hint="eastAsia" w:ascii="仿宋_GB2312" w:hAnsi="仿宋_GB2312" w:eastAsia="仿宋_GB2312" w:cs="仿宋_GB2312"/>
          <w:sz w:val="32"/>
          <w:szCs w:val="32"/>
          <w:lang w:eastAsia="zh-CN"/>
        </w:rPr>
        <w:t>企业的增加，孵化</w:t>
      </w:r>
      <w:r>
        <w:rPr>
          <w:rFonts w:hint="eastAsia" w:ascii="仿宋_GB2312" w:hAnsi="仿宋_GB2312" w:eastAsia="仿宋_GB2312" w:cs="仿宋_GB2312"/>
          <w:sz w:val="32"/>
          <w:szCs w:val="32"/>
        </w:rPr>
        <w:t>中心运营经费</w:t>
      </w:r>
      <w:r>
        <w:rPr>
          <w:rFonts w:hint="eastAsia" w:ascii="仿宋_GB2312" w:hAnsi="仿宋_GB2312" w:eastAsia="仿宋_GB2312" w:cs="仿宋_GB2312"/>
          <w:sz w:val="32"/>
          <w:szCs w:val="32"/>
          <w:lang w:eastAsia="zh-CN"/>
        </w:rPr>
        <w:t>出现</w:t>
      </w:r>
      <w:r>
        <w:rPr>
          <w:rFonts w:hint="eastAsia" w:ascii="仿宋_GB2312" w:hAnsi="仿宋_GB2312" w:eastAsia="仿宋_GB2312" w:cs="仿宋_GB2312"/>
          <w:sz w:val="32"/>
          <w:szCs w:val="32"/>
        </w:rPr>
        <w:t>不足，当前孵化中心全职员工仅1人，难以聘请专业化的服务团队，创业导师</w:t>
      </w:r>
      <w:r>
        <w:rPr>
          <w:rFonts w:hint="eastAsia" w:ascii="仿宋_GB2312" w:hAnsi="仿宋_GB2312" w:eastAsia="仿宋_GB2312" w:cs="仿宋_GB2312"/>
          <w:sz w:val="32"/>
          <w:szCs w:val="32"/>
          <w:lang w:eastAsia="zh-CN"/>
        </w:rPr>
        <w:t>为企业</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w:t>
      </w:r>
    </w:p>
    <w:p>
      <w:pPr>
        <w:pStyle w:val="12"/>
        <w:widowControl/>
        <w:spacing w:beforeAutospacing="0" w:after="0" w:afterAutospacing="0" w:line="36" w:lineRule="atLeast"/>
        <w:ind w:left="0" w:right="0"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下一步改进措施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针对孵化人才缺乏方面，</w:t>
      </w:r>
      <w:r>
        <w:rPr>
          <w:rFonts w:hint="eastAsia" w:ascii="仿宋_GB2312" w:hAnsi="仿宋_GB2312" w:eastAsia="仿宋_GB2312" w:cs="仿宋_GB2312"/>
          <w:sz w:val="32"/>
          <w:szCs w:val="32"/>
        </w:rPr>
        <w:t>孵化中心管理及运营最低需有3－4名专职人员，恳请州政府能够配备相应的事业人员编制，或者增加工作经费临聘专职工作人员，进一步加强孵化中心服务能力培养，打造一支能力突出并高效协同的孵化服务团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针对融资环境严峻方面，</w:t>
      </w:r>
      <w:r>
        <w:rPr>
          <w:rFonts w:hint="eastAsia" w:ascii="仿宋_GB2312" w:hAnsi="仿宋_GB2312" w:eastAsia="仿宋_GB2312" w:cs="仿宋_GB2312"/>
          <w:sz w:val="32"/>
          <w:szCs w:val="32"/>
        </w:rPr>
        <w:t>建议：我州应鼓励孵化中心有效对接科技资源，搭建有效融资渠道，链接高端技术人才，帮助企业成长；引入运营能力强的合作伙伴共同经营，深耕细作服务板块，探索多样化盈利模式。</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针对政策难以落地方面，</w:t>
      </w:r>
      <w:r>
        <w:rPr>
          <w:rFonts w:hint="eastAsia" w:ascii="仿宋_GB2312" w:hAnsi="仿宋_GB2312" w:eastAsia="仿宋_GB2312" w:cs="仿宋_GB2312"/>
          <w:sz w:val="32"/>
          <w:szCs w:val="32"/>
        </w:rPr>
        <w:t>建议：充分利用好“阿坝州双创联席会议制度”，进一步加强各相关职能部门对孵化中心的指导、服务、支持和宣传，营造良好的入孵环境；进一步制定完善科技招商政策，加大企业引入，扩大孵化规模，筛选和培育更优质的企业，并针对我州实际，加大对特色产业的科技创新扶持力度。</w:t>
      </w:r>
      <w:r>
        <w:rPr>
          <w:rFonts w:hint="eastAsia" w:ascii="仿宋_GB2312" w:hAnsi="仿宋_GB2312" w:eastAsia="仿宋_GB2312" w:cs="仿宋_GB2312"/>
          <w:sz w:val="32"/>
          <w:szCs w:val="32"/>
          <w:lang w:val="en-US" w:eastAsia="zh-CN"/>
        </w:rPr>
        <w:t>4、随着入孵企业的增多，建议加大资金投入保障孵化中心正常运转。</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（2）网络平台运行费项目绩效目标完成情况综述。项目全年预算数</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7.96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99.5</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为项目管理部门及项目申报单位节约了成本，并提高了项目申报和管理效率，减少了项目管理成本，有效的避免项目重复性建设，实现了对每个科研项目的全程追溯。</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部分申报人和管理单位常忘记系统登录账号和密码；部分文化水平低的用户不会使用</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在保障系统安全的前提下，简化账号和密码的注册规则；每年举办一到两期平台操作培训。</w:t>
      </w:r>
    </w:p>
    <w:p>
      <w:pPr>
        <w:numPr>
          <w:ilvl w:val="0"/>
          <w:numId w:val="4"/>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rPr>
        <w:t>《阿坝论坛》出版经费项目绩效目标完成情况</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项目全年预算数</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万元，执行数为</w:t>
      </w:r>
      <w:r>
        <w:rPr>
          <w:rFonts w:hint="eastAsia" w:ascii="仿宋_GB2312" w:hAnsi="仿宋_GB2312" w:eastAsia="仿宋_GB2312" w:cs="仿宋_GB2312"/>
          <w:sz w:val="32"/>
          <w:szCs w:val="32"/>
          <w:highlight w:val="none"/>
          <w:lang w:val="en-US" w:eastAsia="zh-CN"/>
        </w:rPr>
        <w:t>1.80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rPr>
        <w:t>%。通过项目实施，保障</w:t>
      </w:r>
      <w:r>
        <w:rPr>
          <w:rFonts w:hint="eastAsia" w:ascii="仿宋_GB2312" w:hAnsi="仿宋_GB2312" w:eastAsia="仿宋_GB2312" w:cs="仿宋_GB2312"/>
          <w:sz w:val="32"/>
          <w:szCs w:val="32"/>
          <w:highlight w:val="none"/>
          <w:lang w:eastAsia="zh-CN"/>
        </w:rPr>
        <w:t>了州内科研项目及项目成果转化的成果得到充分传播。</w:t>
      </w:r>
      <w:r>
        <w:rPr>
          <w:rFonts w:hint="eastAsia" w:ascii="仿宋_GB2312" w:hAnsi="仿宋_GB2312" w:eastAsia="仿宋_GB2312" w:cs="仿宋_GB2312"/>
          <w:sz w:val="32"/>
          <w:szCs w:val="32"/>
          <w:highlight w:val="none"/>
        </w:rPr>
        <w:t>发现的主要问题：</w:t>
      </w:r>
      <w:r>
        <w:rPr>
          <w:rFonts w:hint="eastAsia" w:ascii="仿宋_GB2312" w:hAnsi="仿宋_GB2312" w:eastAsia="仿宋_GB2312" w:cs="仿宋_GB2312"/>
          <w:sz w:val="32"/>
          <w:szCs w:val="32"/>
          <w:highlight w:val="none"/>
          <w:lang w:eastAsia="zh-CN"/>
        </w:rPr>
        <w:t>项目资金执行数低，主要的原因是《阿坝科技》和</w:t>
      </w:r>
      <w:r>
        <w:rPr>
          <w:rFonts w:hint="eastAsia" w:ascii="仿宋_GB2312" w:hAnsi="仿宋_GB2312" w:eastAsia="仿宋_GB2312" w:cs="仿宋_GB2312"/>
          <w:sz w:val="32"/>
          <w:szCs w:val="32"/>
          <w:highlight w:val="none"/>
          <w:lang w:val="en-US" w:eastAsia="zh-CN"/>
        </w:rPr>
        <w:t>《阿坝论坛》合刊后在项目预算编制上没有充分的论证，致使编制的预算部分资金不能全部发挥作用。</w:t>
      </w:r>
      <w:r>
        <w:rPr>
          <w:rFonts w:hint="eastAsia" w:ascii="仿宋_GB2312" w:hAnsi="仿宋_GB2312" w:eastAsia="仿宋_GB2312" w:cs="仿宋_GB2312"/>
          <w:sz w:val="32"/>
          <w:szCs w:val="32"/>
          <w:highlight w:val="none"/>
        </w:rPr>
        <w:t>下一步改进措施：</w:t>
      </w:r>
      <w:r>
        <w:rPr>
          <w:rFonts w:hint="eastAsia" w:ascii="仿宋_GB2312" w:hAnsi="仿宋_GB2312" w:eastAsia="仿宋_GB2312" w:cs="仿宋_GB2312"/>
          <w:sz w:val="32"/>
          <w:szCs w:val="32"/>
          <w:highlight w:val="none"/>
          <w:lang w:eastAsia="zh-CN"/>
        </w:rPr>
        <w:t>科学合理编制下年预算，使现有资金充分发挥应有的作用，为全州科技工作者更好的服务。</w:t>
      </w:r>
    </w:p>
    <w:p>
      <w:pPr>
        <w:spacing w:line="580" w:lineRule="exact"/>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查新费项目绩效目标完成情况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0.52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为州内科研机构和企业提供了项目查新，为项目的立项和成果的登记备案提供技术支撑，</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今年来由于申报科研项目没有在要求必须提供查新材料，查新业务也较少。</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由于查新资质取得比较困难，研究所还要长期开展此项工作，下年在预算编制上逐步进行调整。</w:t>
      </w:r>
    </w:p>
    <w:p>
      <w:pPr>
        <w:spacing w:line="580" w:lineRule="exact"/>
        <w:ind w:firstLine="640" w:firstLineChars="200"/>
        <w:rPr>
          <w:rFonts w:hint="eastAsia"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孵化中心管理运行费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阿坝州自然资源与科技信息研究所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17.4</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为全面贯彻落实国家、省、州推进大众创业、万众创新的决策部署，探索科技体制创新，促进科技成果转化，搭建创新创业平台，加快培育科技型中小微企业和创业领军人才，推动我州高新技术产业加快发展。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eastAsia="zh-CN"/>
              </w:rPr>
              <w:t>根据预期目标和决策部署，孵化中心成功申报成为省级众创空间。中心不断培育科技型中小微企业，截止2019年底，入孵企业数量为50家。同时推进科技体质创新，搭建创新创业平台，线上综合服务平台已打造完成80%。</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时效</w:t>
            </w: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实施时间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2019年全年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2019年共计接待咨询企业19家，新完成入孵手续企业10家，待入孵企业5家。当前孵化中心共计入孵企业50家，其中毕业7家。</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完成科技培训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30人次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2019年11月12日，阿坝州科技企业孵化中心在汶川举行科技项目申报技巧、企业经营法律及税务风险防范相关讲座。参加的企业、团队、相关工作人员共计60余人。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新增入孵企业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5家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19年新增入孵企业10家：汶川无忧文化创意有限公司、汶川县十贤民宿服务有限公司、四川名就科技有限公司、四川德鑫果缘农业有限公司、汶川县食里八乡农业科技有限责任公司、金川冬女丽尊商贸有限公司、阿坝县科丰农业科技有限公司、汶川羌山娃农业科技有限公司、阿坝巨祥消防器材有限公司、四川阿坝天铁翼科技有限公司。</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大型创新创业活动宣传一次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eastAsia="zh-CN"/>
              </w:rPr>
              <w:t>做好双创活动周的筹备工作以及前期工作部署，场地布置，宣传造势等工作，通知各县相关负责领导相关单位协同当地出色企业共同出席双创活动。与国家同步进行的全州“大众创业，万众创新”双创活动于2019年6月13日在阿坝师范学院成功举行。</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网络平台运行费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阿坝州自然资源与科技信息研究所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7.96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7.96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保障科技计划网上申报评审系统、科技成果网上登记系统、科技项目管理系统以及政策法规、专家、科技文献等数据库正常运行。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各系统运行稳定，运行中遇到的各种问题能及时处理。</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项目管理数量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全州所有科研项目的管理工作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2019年有效的支撑了</w:t>
            </w:r>
            <w:r>
              <w:rPr>
                <w:rFonts w:hint="eastAsia" w:ascii="宋体" w:hAnsi="宋体" w:cs="宋体"/>
                <w:color w:val="000000"/>
                <w:sz w:val="24"/>
                <w:lang w:eastAsia="zh-CN"/>
              </w:rPr>
              <w:t>全州</w:t>
            </w:r>
            <w:r>
              <w:rPr>
                <w:rFonts w:hint="eastAsia" w:ascii="宋体" w:hAnsi="宋体" w:cs="宋体"/>
                <w:color w:val="000000"/>
                <w:sz w:val="24"/>
                <w:lang w:val="en-US" w:eastAsia="zh-CN"/>
              </w:rPr>
              <w:t>180个项目的申报和32个项目的验收工作。</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w:t>
            </w:r>
            <w:r>
              <w:rPr>
                <w:rFonts w:hint="eastAsia" w:ascii="宋体" w:hAnsi="宋体" w:cs="宋体"/>
                <w:color w:val="000000"/>
                <w:sz w:val="24"/>
              </w:rPr>
              <w:t>量</w:t>
            </w: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运行情况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机房承载系统稳定、流畅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所有系统运行稳定流畅，未出现故障。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运行时间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2019年1月至12月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2019年1月至12月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为使用单位节约支出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为项目管理部门及项目申报单位节约成本，并提高项目申报效率和减少项目管理成本。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系统为管理部门节约了成本，大大的提高了管理和申报效率。</w:t>
            </w:r>
          </w:p>
        </w:tc>
      </w:tr>
      <w:tr>
        <w:tblPrEx>
          <w:tblCellMar>
            <w:top w:w="0" w:type="dxa"/>
            <w:left w:w="0" w:type="dxa"/>
            <w:bottom w:w="0" w:type="dxa"/>
            <w:right w:w="0" w:type="dxa"/>
          </w:tblCellMar>
        </w:tblPrEx>
        <w:trPr>
          <w:trHeight w:val="1042"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项目管理对象满意度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《阿坝论坛》出版经费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阿坝州自然资源与科技信息研究所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搭建起了我州与省内外学术交流的桥梁。</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《阿坝论坛》2019年度总共刊发四期，使科学技术及成果转换成果得到充分传播。</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发行时间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一季度一期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四期</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w:t>
            </w:r>
            <w:r>
              <w:rPr>
                <w:rFonts w:hint="eastAsia" w:ascii="宋体" w:hAnsi="宋体" w:cs="宋体"/>
                <w:color w:val="000000"/>
                <w:sz w:val="24"/>
              </w:rPr>
              <w:t>量</w:t>
            </w: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发行质量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每期以高质量稿件发行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出版期数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4期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发行后取得效果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科技工作者搭建学术交流平台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让科技成果、成果转换得到充分传播</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查新费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阿坝州自然资源与科技信息研究所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0.52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0.52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为州内项目实施单位提供项目查新，便于项目的立项和成果的登记备案。</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因科研项目申报不在要求提供查新材料，查新业务较少。对查新工作人员进行了学习培训，提高查新检索工作能力。</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项目查询数量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 xml:space="preserve">根据每年项目的申报数量确定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年度开展业务数量较少</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收取相应的查新费用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查新费用全部上缴国库</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未收取相关费用</w:t>
            </w:r>
          </w:p>
        </w:tc>
      </w:tr>
      <w:tr>
        <w:tblPrEx>
          <w:tblCellMar>
            <w:top w:w="0" w:type="dxa"/>
            <w:left w:w="0" w:type="dxa"/>
            <w:bottom w:w="0" w:type="dxa"/>
            <w:right w:w="0" w:type="dxa"/>
          </w:tblCellMar>
        </w:tblPrEx>
        <w:trPr>
          <w:trHeight w:val="1042"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项目查新单位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项目查新单位对查新的满意情况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阿坝州自然资源与科技信息研究所</w:t>
      </w:r>
      <w:r>
        <w:rPr>
          <w:rFonts w:hint="eastAsia" w:ascii="仿宋_GB2312" w:hAnsi="仿宋_GB2312" w:eastAsia="仿宋_GB2312" w:cs="仿宋_GB2312"/>
          <w:sz w:val="32"/>
          <w:szCs w:val="32"/>
        </w:rPr>
        <w:t>部门2019年部门整体支出绩效评价报告》</w:t>
      </w:r>
      <w:r>
        <w:rPr>
          <w:rFonts w:hint="eastAsia" w:ascii="仿宋_GB2312" w:hAnsi="仿宋_GB2312" w:eastAsia="仿宋_GB2312" w:cs="仿宋_GB2312"/>
          <w:sz w:val="32"/>
          <w:szCs w:val="32"/>
          <w:lang w:eastAsia="zh-CN"/>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69" w:name="_Toc15377225"/>
      <w:bookmarkStart w:id="70" w:name="_Toc27240"/>
      <w:bookmarkStart w:id="71"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69"/>
      <w:bookmarkEnd w:id="70"/>
      <w:bookmarkEnd w:id="71"/>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科技项目主管部门下拨的科研项目经费</w:t>
      </w:r>
      <w:r>
        <w:rPr>
          <w:rFonts w:hint="eastAsia" w:ascii="仿宋_GB2312" w:eastAsia="仿宋_GB2312"/>
          <w:sz w:val="32"/>
          <w:szCs w:val="32"/>
        </w:rPr>
        <w:t>。</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000000"/>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科学技术（类）应用研究（款）机构运行（项）：</w:t>
      </w:r>
      <w:r>
        <w:rPr>
          <w:rFonts w:hint="eastAsia" w:ascii="仿宋_GB2312" w:eastAsia="仿宋_GB2312"/>
          <w:sz w:val="32"/>
          <w:szCs w:val="32"/>
        </w:rPr>
        <w:t>指</w:t>
      </w:r>
      <w:r>
        <w:rPr>
          <w:rFonts w:hint="eastAsia" w:ascii="仿宋_GB2312" w:eastAsia="仿宋_GB2312"/>
          <w:color w:val="000000"/>
          <w:sz w:val="32"/>
          <w:szCs w:val="32"/>
        </w:rPr>
        <w:t>反映应用研究机构的基本支出。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科学技术（类）应用研究（款）社会公益研究（项）：</w:t>
      </w:r>
      <w:r>
        <w:rPr>
          <w:rFonts w:hint="eastAsia" w:ascii="仿宋_GB2312" w:eastAsia="仿宋_GB2312"/>
          <w:sz w:val="32"/>
          <w:szCs w:val="32"/>
        </w:rPr>
        <w:t>指</w:t>
      </w:r>
      <w:r>
        <w:rPr>
          <w:rFonts w:hint="eastAsia" w:ascii="仿宋_GB2312" w:eastAsia="仿宋_GB2312"/>
          <w:color w:val="000000"/>
          <w:sz w:val="32"/>
          <w:szCs w:val="32"/>
        </w:rPr>
        <w:t>反映从事卫生、劳动保护、计划生育、环境科学、农业等社会公益专项科研方面的支出。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科学技术（类）技术研究与开发（款）应用技术研究与开发：</w:t>
      </w:r>
      <w:r>
        <w:rPr>
          <w:rFonts w:hint="eastAsia" w:ascii="仿宋_GB2312" w:eastAsia="仿宋_GB2312"/>
          <w:sz w:val="32"/>
          <w:szCs w:val="32"/>
        </w:rPr>
        <w:t>指</w:t>
      </w:r>
      <w:r>
        <w:rPr>
          <w:rFonts w:hint="eastAsia" w:ascii="仿宋_GB2312" w:eastAsia="仿宋_GB2312"/>
          <w:color w:val="000000"/>
          <w:sz w:val="32"/>
          <w:szCs w:val="32"/>
        </w:rPr>
        <w:t>反映从事技术开发研究和近期可望取得实用价值的专项技术开发研究的支出。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科学技术技术（类）研究与开发（款）科技成果转化与扩散（项）：</w:t>
      </w:r>
      <w:r>
        <w:rPr>
          <w:rFonts w:hint="eastAsia" w:ascii="仿宋_GB2312" w:eastAsia="仿宋_GB2312"/>
          <w:sz w:val="32"/>
          <w:szCs w:val="32"/>
        </w:rPr>
        <w:t>指</w:t>
      </w:r>
      <w:r>
        <w:rPr>
          <w:rFonts w:hint="eastAsia" w:ascii="仿宋_GB2312" w:eastAsia="仿宋_GB2312"/>
          <w:color w:val="000000"/>
          <w:sz w:val="32"/>
          <w:szCs w:val="32"/>
        </w:rPr>
        <w:t>反映促进科技成果转化为现实生产力的应用、推广和引导性支出，以及基本建设支出中用于支持企业科技自主创新的支出。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科学技术（类）科技条件与服务（款）科技条件专项（项）：</w:t>
      </w:r>
      <w:r>
        <w:rPr>
          <w:rFonts w:hint="eastAsia" w:ascii="仿宋_GB2312" w:eastAsia="仿宋_GB2312"/>
          <w:sz w:val="32"/>
          <w:szCs w:val="32"/>
        </w:rPr>
        <w:t>指</w:t>
      </w:r>
      <w:r>
        <w:rPr>
          <w:rFonts w:hint="eastAsia" w:ascii="仿宋_GB2312" w:eastAsia="仿宋_GB2312"/>
          <w:color w:val="000000"/>
          <w:sz w:val="32"/>
          <w:szCs w:val="32"/>
        </w:rPr>
        <w:t>反映</w:t>
      </w:r>
      <w:r>
        <w:rPr>
          <w:rFonts w:hint="eastAsia" w:ascii="仿宋_GB2312" w:eastAsia="仿宋_GB2312"/>
          <w:color w:val="000000"/>
          <w:sz w:val="32"/>
          <w:szCs w:val="32"/>
          <w:lang w:eastAsia="zh-CN"/>
        </w:rPr>
        <w:t>国家用于完善科技条件</w:t>
      </w:r>
      <w:r>
        <w:rPr>
          <w:rFonts w:hint="eastAsia" w:ascii="仿宋_GB2312" w:eastAsia="仿宋_GB2312"/>
          <w:color w:val="000000"/>
          <w:sz w:val="32"/>
          <w:szCs w:val="32"/>
        </w:rPr>
        <w:t>的支出</w:t>
      </w:r>
      <w:r>
        <w:rPr>
          <w:rFonts w:hint="eastAsia" w:ascii="仿宋_GB2312" w:eastAsia="仿宋_GB2312"/>
          <w:color w:val="000000"/>
          <w:sz w:val="32"/>
          <w:szCs w:val="32"/>
          <w:lang w:eastAsia="zh-CN"/>
        </w:rPr>
        <w:t>，包括科技文献信息、网络环境支撑等科技条件专项支出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科学技术（类）其他科学技术研究（款）其他科学技术研究（项）：</w:t>
      </w:r>
      <w:r>
        <w:rPr>
          <w:rFonts w:hint="eastAsia" w:ascii="仿宋_GB2312" w:eastAsia="仿宋_GB2312"/>
          <w:sz w:val="32"/>
          <w:szCs w:val="32"/>
        </w:rPr>
        <w:t>指</w:t>
      </w:r>
      <w:r>
        <w:rPr>
          <w:rFonts w:hint="eastAsia" w:ascii="仿宋_GB2312" w:eastAsia="仿宋_GB2312"/>
          <w:color w:val="000000"/>
          <w:sz w:val="32"/>
          <w:szCs w:val="32"/>
        </w:rPr>
        <w:t>反映其他科学技术支出中除以上各项外用于科技方面的支出。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社会保障和就业（类）行政事业单位离退休（款）机关事业单位基本养老保险缴费支出（项）：指反映各级财政部门对机关事业单位基本养老保险基金收老保险基金的补助支缺口的补助。</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社会保障和就业（类）行政事业单位离退休（款）机关事业单位职业年金缴费支出（项）：指反映机关事业单位实施养老保险制度由单位实际缴纳的缴费支出职业年金支出。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卫生健康支出（类）行政事业单位医疗（款）事业单位医疗（项）：指反映财政部门集中安排的事业单位基本医疗保险缴费经费，未参加医疗保险的事业单位的公费医疗经费，按国家规定享受离休人员待遇的医疗经费。</w:t>
      </w:r>
    </w:p>
    <w:p>
      <w:pPr>
        <w:ind w:firstLine="640" w:firstLineChars="200"/>
        <w:rPr>
          <w:rFonts w:ascii="仿宋_GB2312" w:eastAsia="仿宋_GB2312"/>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卫生健康支出（类）行政事业单位医疗（款）其他行政事业单位医疗（项）：</w:t>
      </w:r>
      <w:r>
        <w:rPr>
          <w:rFonts w:hint="eastAsia" w:ascii="仿宋_GB2312" w:eastAsia="仿宋_GB2312"/>
          <w:sz w:val="32"/>
          <w:szCs w:val="32"/>
        </w:rPr>
        <w:t>指反映除上述项目以外的其他用于行政事业单位医疗方面的支出。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住房保障（类）住房改革支出（款）住房公积金（项）：指反映行政事业单位按人力资源和社会保障部、财政部规定的基本工资和津贴补贴以及规定比例为职工缴纳的住房公积金。</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（上述</w:t>
      </w:r>
      <w:r>
        <w:rPr>
          <w:rFonts w:ascii="仿宋" w:hAnsi="仿宋" w:eastAsia="仿宋"/>
          <w:b/>
          <w:color w:val="000000"/>
          <w:sz w:val="32"/>
          <w:szCs w:val="32"/>
        </w:rPr>
        <w:t>9-</w:t>
      </w:r>
      <w:r>
        <w:rPr>
          <w:rFonts w:hint="eastAsia" w:ascii="仿宋" w:hAnsi="仿宋" w:eastAsia="仿宋"/>
          <w:b/>
          <w:color w:val="000000"/>
          <w:sz w:val="32"/>
          <w:szCs w:val="32"/>
          <w:lang w:val="en-US" w:eastAsia="zh-CN"/>
        </w:rPr>
        <w:t>19</w:t>
      </w:r>
      <w:r>
        <w:rPr>
          <w:rFonts w:hint="eastAsia" w:ascii="仿宋" w:hAnsi="仿宋" w:eastAsia="仿宋"/>
          <w:b/>
          <w:color w:val="000000"/>
          <w:sz w:val="32"/>
          <w:szCs w:val="32"/>
        </w:rPr>
        <w:t>条名词解释参照《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w:t>
      </w:r>
      <w:r>
        <w:rPr>
          <w:rFonts w:hint="eastAsia" w:ascii="仿宋" w:hAnsi="仿宋" w:eastAsia="仿宋"/>
          <w:b/>
          <w:color w:val="000000"/>
          <w:sz w:val="32"/>
          <w:szCs w:val="32"/>
          <w:lang w:eastAsia="zh-CN"/>
        </w:rPr>
        <w:t>书列示</w:t>
      </w:r>
      <w:r>
        <w:rPr>
          <w:rFonts w:hint="eastAsia" w:ascii="仿宋" w:hAnsi="仿宋" w:eastAsia="仿宋"/>
          <w:b/>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5</w:t>
      </w:r>
      <w:r>
        <w:rPr>
          <w:rFonts w:ascii="仿宋_GB2312" w:eastAsia="仿宋_GB2312"/>
          <w:sz w:val="32"/>
          <w:szCs w:val="32"/>
        </w:rPr>
        <w:t xml:space="preserve">. </w:t>
      </w:r>
      <w:r>
        <w:rPr>
          <w:rFonts w:hint="eastAsia" w:ascii="仿宋_GB2312" w:eastAsia="仿宋_GB2312"/>
          <w:sz w:val="32"/>
          <w:szCs w:val="32"/>
        </w:rPr>
        <w:t>孵化中心：是科技企业孵化中心的简称，以促进科技成果转化、培养高新科技企业和企业家为宗旨的科技创业服务机构。</w:t>
      </w:r>
    </w:p>
    <w:p>
      <w:pPr>
        <w:pStyle w:val="23"/>
        <w:spacing w:line="560" w:lineRule="exact"/>
        <w:ind w:firstLine="640" w:firstLineChars="200"/>
        <w:rPr>
          <w:rFonts w:ascii="仿宋_GB2312" w:eastAsia="仿宋_GB2312" w:cs="黑体"/>
          <w:sz w:val="32"/>
          <w:szCs w:val="32"/>
        </w:rPr>
      </w:pPr>
      <w:r>
        <w:rPr>
          <w:rFonts w:ascii="仿宋_GB2312" w:eastAsia="仿宋_GB2312"/>
          <w:sz w:val="32"/>
          <w:szCs w:val="32"/>
        </w:rPr>
        <w:t>2</w:t>
      </w:r>
      <w:r>
        <w:rPr>
          <w:rFonts w:hint="eastAsia" w:ascii="仿宋_GB2312" w:eastAsia="仿宋_GB2312"/>
          <w:sz w:val="32"/>
          <w:szCs w:val="32"/>
          <w:lang w:val="en-US" w:eastAsia="zh-CN"/>
        </w:rPr>
        <w:t>6</w:t>
      </w:r>
      <w:r>
        <w:rPr>
          <w:rFonts w:ascii="仿宋_GB2312" w:eastAsia="仿宋_GB2312"/>
          <w:sz w:val="32"/>
          <w:szCs w:val="32"/>
        </w:rPr>
        <w:t>.</w:t>
      </w:r>
      <w:r>
        <w:rPr>
          <w:rFonts w:ascii="Arial" w:hAnsi="Arial" w:cs="Arial"/>
          <w:color w:val="333333"/>
          <w:kern w:val="0"/>
          <w:sz w:val="17"/>
          <w:szCs w:val="17"/>
        </w:rPr>
        <w:t xml:space="preserve"> </w:t>
      </w:r>
      <w:r>
        <w:rPr>
          <w:rFonts w:hint="eastAsia" w:ascii="仿宋_GB2312" w:eastAsia="仿宋_GB2312"/>
          <w:sz w:val="32"/>
          <w:szCs w:val="32"/>
        </w:rPr>
        <w:t>城乡统筹：是要坚持以人为本，使农村居民和城市居民同步过上全面小康的幸福生活，最终目标是要使农村居民、进城务工人员及其家属与城市居民一样，享有平等的权利、均等化的公共服务、同质化的生活条件。</w:t>
      </w:r>
    </w:p>
    <w:p>
      <w:pPr>
        <w:spacing w:line="600" w:lineRule="exact"/>
        <w:jc w:val="center"/>
        <w:outlineLvl w:val="0"/>
        <w:rPr>
          <w:rStyle w:val="25"/>
          <w:rFonts w:ascii="黑体" w:hAnsi="黑体" w:eastAsia="黑体"/>
          <w:b w:val="0"/>
        </w:rPr>
      </w:pPr>
      <w:bookmarkStart w:id="72" w:name="_Toc15377226"/>
      <w:r>
        <w:rPr>
          <w:rFonts w:ascii="宋体"/>
          <w:b/>
          <w:color w:val="000000"/>
          <w:sz w:val="44"/>
          <w:szCs w:val="44"/>
        </w:rPr>
        <w:br w:type="page"/>
      </w:r>
      <w:bookmarkStart w:id="73" w:name="_Toc15396614"/>
      <w:bookmarkStart w:id="74" w:name="_Toc10170"/>
      <w:r>
        <w:rPr>
          <w:rFonts w:hint="eastAsia" w:ascii="黑体" w:hAnsi="黑体" w:eastAsia="黑体"/>
          <w:color w:val="000000"/>
          <w:sz w:val="44"/>
          <w:szCs w:val="44"/>
        </w:rPr>
        <w:t>第</w:t>
      </w:r>
      <w:r>
        <w:rPr>
          <w:rStyle w:val="25"/>
          <w:rFonts w:hint="eastAsia" w:ascii="黑体" w:hAnsi="黑体" w:eastAsia="黑体"/>
          <w:b w:val="0"/>
        </w:rPr>
        <w:t>四部分 附件</w:t>
      </w:r>
      <w:bookmarkEnd w:id="73"/>
      <w:bookmarkEnd w:id="74"/>
    </w:p>
    <w:p>
      <w:pPr>
        <w:pStyle w:val="3"/>
        <w:rPr>
          <w:rFonts w:hint="eastAsia" w:ascii="黑体" w:hAnsi="黑体" w:eastAsia="黑体"/>
          <w:b w:val="0"/>
          <w:color w:val="000000"/>
        </w:rPr>
      </w:pPr>
      <w:bookmarkStart w:id="75" w:name="_Toc23015"/>
      <w:r>
        <w:rPr>
          <w:rFonts w:hint="eastAsia" w:ascii="黑体" w:hAnsi="黑体" w:eastAsia="黑体"/>
          <w:b w:val="0"/>
          <w:color w:val="000000"/>
        </w:rPr>
        <w:t>附件1</w:t>
      </w:r>
      <w:bookmarkEnd w:id="75"/>
    </w:p>
    <w:p>
      <w:pPr>
        <w:spacing w:line="580" w:lineRule="exact"/>
        <w:jc w:val="center"/>
        <w:rPr>
          <w:rFonts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阿坝州自然资源与科技信息研究所</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2019年部门整体支出绩效报告</w:t>
      </w:r>
    </w:p>
    <w:p>
      <w:pPr>
        <w:rPr>
          <w:rFonts w:hint="eastAsia" w:ascii="仿宋_GB2312" w:hAnsi="仿宋_GB2312" w:eastAsia="仿宋_GB2312" w:cs="仿宋_GB2312"/>
          <w:sz w:val="32"/>
          <w:szCs w:val="32"/>
          <w:lang w:eastAsia="zh-CN"/>
        </w:rPr>
      </w:pP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zh-CN" w:eastAsia="zh-CN"/>
        </w:rPr>
        <w:t>一、部门（单位）概况</w:t>
      </w:r>
    </w:p>
    <w:p>
      <w:pPr>
        <w:ind w:firstLine="643" w:firstLineChars="200"/>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（一）机构组成。</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阿坝州自然资源与科技信息研究所是隶属州科技局直属财政全额拨款事业单位。</w:t>
      </w:r>
    </w:p>
    <w:p>
      <w:pPr>
        <w:ind w:firstLine="643" w:firstLineChars="200"/>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（二）机构职能。</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本单位主要职责是：从事全州自然资源与科技信息研究，产品研发，成果技术转化、推广，技术咨询服务，为阿坝州自然资源研究开发及科技信息产业发展服务。</w:t>
      </w:r>
    </w:p>
    <w:p>
      <w:pPr>
        <w:ind w:firstLine="643" w:firstLineChars="200"/>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（三）人员概况。</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截止2019年12月31日本所在职人员共9人，其中</w:t>
      </w:r>
      <w:r>
        <w:rPr>
          <w:rFonts w:hint="eastAsia" w:ascii="仿宋" w:hAnsi="仿宋" w:eastAsia="仿宋" w:cs="仿宋"/>
          <w:sz w:val="32"/>
          <w:szCs w:val="32"/>
          <w:lang w:eastAsia="zh-CN"/>
        </w:rPr>
        <w:t>专业技术人员</w:t>
      </w:r>
      <w:r>
        <w:rPr>
          <w:rFonts w:hint="eastAsia" w:ascii="仿宋" w:hAnsi="仿宋" w:eastAsia="仿宋" w:cs="仿宋"/>
          <w:sz w:val="32"/>
          <w:szCs w:val="32"/>
          <w:lang w:val="en-US" w:eastAsia="zh-CN"/>
        </w:rPr>
        <w:t>9人</w:t>
      </w:r>
      <w:r>
        <w:rPr>
          <w:rFonts w:hint="eastAsia" w:ascii="仿宋" w:hAnsi="仿宋" w:eastAsia="仿宋" w:cs="仿宋"/>
          <w:sz w:val="32"/>
          <w:szCs w:val="32"/>
          <w:lang w:eastAsia="zh-CN"/>
        </w:rPr>
        <w:t>。离休人员1人，退休人员8人。</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zh-CN" w:eastAsia="zh-CN"/>
        </w:rPr>
        <w:t>二、部门财政资金收支情况</w:t>
      </w:r>
    </w:p>
    <w:p>
      <w:pPr>
        <w:ind w:firstLine="643" w:firstLineChars="200"/>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（一）部门财政资金收入情况。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2019年财政资金收入315.58万元。</w:t>
      </w:r>
    </w:p>
    <w:p>
      <w:pPr>
        <w:ind w:firstLine="643" w:firstLineChars="200"/>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（二）部门财政资金支出情况。</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2019年财政资金支出316.94万元。</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zh-CN" w:eastAsia="zh-CN"/>
        </w:rPr>
        <w:t>三、部门财政支出管理情况</w:t>
      </w:r>
    </w:p>
    <w:p>
      <w:pPr>
        <w:ind w:firstLine="643" w:firstLineChars="200"/>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（一）预算编制情况。</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根据《预算法》和2019年州级部门预算编制通知等法律和文件的规定，本单位按照2019年部门预算编制重点，结合本部门工作实际，及时更新预算编制基础信息，细化项目绩效目标，准确编制部门预算。</w:t>
      </w:r>
    </w:p>
    <w:p>
      <w:pPr>
        <w:ind w:firstLine="643" w:firstLineChars="200"/>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（二）执行管理情况。</w:t>
      </w:r>
      <w:r>
        <w:rPr>
          <w:rFonts w:hint="eastAsia" w:ascii="仿宋" w:hAnsi="仿宋" w:eastAsia="仿宋" w:cs="仿宋"/>
          <w:b/>
          <w:bCs/>
          <w:sz w:val="32"/>
          <w:szCs w:val="32"/>
          <w:lang w:val="zh-CN" w:eastAsia="zh-CN"/>
        </w:rPr>
        <w:tab/>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本单位根据《预算法》的规定，严格进行预算执行管理。201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eastAsia="zh-CN"/>
        </w:rPr>
        <w:t>年全年预算执行率为</w:t>
      </w:r>
      <w:r>
        <w:rPr>
          <w:rFonts w:hint="eastAsia" w:ascii="仿宋" w:hAnsi="仿宋" w:eastAsia="仿宋" w:cs="仿宋"/>
          <w:sz w:val="32"/>
          <w:szCs w:val="32"/>
          <w:lang w:val="en-US" w:eastAsia="zh-CN"/>
        </w:rPr>
        <w:t>87.93</w:t>
      </w:r>
      <w:r>
        <w:rPr>
          <w:rFonts w:hint="eastAsia" w:ascii="仿宋" w:hAnsi="仿宋" w:eastAsia="仿宋" w:cs="仿宋"/>
          <w:sz w:val="32"/>
          <w:szCs w:val="32"/>
          <w:lang w:val="zh-CN" w:eastAsia="zh-CN"/>
        </w:rPr>
        <w:t>%。</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同时，本单位严格执行“三公经费”预算，无超预算的情况。详细情况见下表：</w:t>
      </w:r>
    </w:p>
    <w:tbl>
      <w:tblPr>
        <w:tblStyle w:val="13"/>
        <w:tblpPr w:leftFromText="180" w:rightFromText="180" w:vertAnchor="text" w:horzAnchor="page" w:tblpX="2276" w:tblpY="225"/>
        <w:tblOverlap w:val="never"/>
        <w:tblW w:w="7632" w:type="dxa"/>
        <w:tblInd w:w="0" w:type="dxa"/>
        <w:tblLayout w:type="autofit"/>
        <w:tblCellMar>
          <w:top w:w="0" w:type="dxa"/>
          <w:left w:w="0" w:type="dxa"/>
          <w:bottom w:w="0" w:type="dxa"/>
          <w:right w:w="0" w:type="dxa"/>
        </w:tblCellMar>
      </w:tblPr>
      <w:tblGrid>
        <w:gridCol w:w="2424"/>
        <w:gridCol w:w="1404"/>
        <w:gridCol w:w="1404"/>
        <w:gridCol w:w="1272"/>
        <w:gridCol w:w="1128"/>
      </w:tblGrid>
      <w:tr>
        <w:tblPrEx>
          <w:tblCellMar>
            <w:top w:w="0" w:type="dxa"/>
            <w:left w:w="0" w:type="dxa"/>
            <w:bottom w:w="0" w:type="dxa"/>
            <w:right w:w="0" w:type="dxa"/>
          </w:tblCellMar>
        </w:tblPrEx>
        <w:trPr>
          <w:trHeight w:val="520" w:hRule="atLeast"/>
        </w:trPr>
        <w:tc>
          <w:tcPr>
            <w:tcW w:w="7632" w:type="dxa"/>
            <w:gridSpan w:val="5"/>
            <w:tcBorders>
              <w:top w:val="nil"/>
              <w:left w:val="nil"/>
              <w:bottom w:val="nil"/>
              <w:right w:val="nil"/>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2019年“三公经费”预决算对比表</w:t>
            </w:r>
          </w:p>
        </w:tc>
      </w:tr>
      <w:tr>
        <w:tblPrEx>
          <w:tblCellMar>
            <w:top w:w="0" w:type="dxa"/>
            <w:left w:w="0" w:type="dxa"/>
            <w:bottom w:w="0" w:type="dxa"/>
            <w:right w:w="0" w:type="dxa"/>
          </w:tblCellMar>
        </w:tblPrEx>
        <w:trPr>
          <w:trHeight w:val="312" w:hRule="atLeast"/>
        </w:trPr>
        <w:tc>
          <w:tcPr>
            <w:tcW w:w="2424" w:type="dxa"/>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单位：信息所</w:t>
            </w:r>
          </w:p>
        </w:tc>
        <w:tc>
          <w:tcPr>
            <w:tcW w:w="1404" w:type="dxa"/>
            <w:tcBorders>
              <w:top w:val="nil"/>
              <w:left w:val="nil"/>
              <w:bottom w:val="nil"/>
              <w:right w:val="nil"/>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404" w:type="dxa"/>
            <w:tcBorders>
              <w:top w:val="nil"/>
              <w:left w:val="nil"/>
              <w:bottom w:val="nil"/>
              <w:right w:val="nil"/>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272" w:type="dxa"/>
            <w:tcBorders>
              <w:top w:val="nil"/>
              <w:left w:val="nil"/>
              <w:bottom w:val="nil"/>
              <w:right w:val="nil"/>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单位：元</w:t>
            </w:r>
          </w:p>
        </w:tc>
        <w:tc>
          <w:tcPr>
            <w:tcW w:w="1128" w:type="dxa"/>
            <w:tcBorders>
              <w:top w:val="nil"/>
              <w:left w:val="nil"/>
              <w:bottom w:val="nil"/>
              <w:right w:val="nil"/>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312" w:hRule="atLeast"/>
        </w:trPr>
        <w:tc>
          <w:tcPr>
            <w:tcW w:w="2424" w:type="dxa"/>
            <w:tcBorders>
              <w:top w:val="single" w:color="000000" w:sz="4" w:space="0"/>
              <w:left w:val="single" w:color="000000" w:sz="4" w:space="0"/>
              <w:bottom w:val="single" w:color="000000" w:sz="4" w:space="0"/>
              <w:right w:val="single" w:color="000000" w:sz="4" w:space="0"/>
            </w:tcBorders>
            <w:shd w:val="clear" w:color="auto" w:fill="AEAAAA"/>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1404" w:type="dxa"/>
            <w:tcBorders>
              <w:top w:val="single" w:color="000000" w:sz="4" w:space="0"/>
              <w:left w:val="single" w:color="000000" w:sz="4" w:space="0"/>
              <w:bottom w:val="single" w:color="000000" w:sz="4" w:space="0"/>
              <w:right w:val="single" w:color="000000" w:sz="4" w:space="0"/>
            </w:tcBorders>
            <w:shd w:val="clear" w:color="auto" w:fill="AEAAAA"/>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预算金额</w:t>
            </w:r>
          </w:p>
        </w:tc>
        <w:tc>
          <w:tcPr>
            <w:tcW w:w="1404" w:type="dxa"/>
            <w:tcBorders>
              <w:top w:val="single" w:color="000000" w:sz="4" w:space="0"/>
              <w:left w:val="single" w:color="000000" w:sz="4" w:space="0"/>
              <w:bottom w:val="single" w:color="000000" w:sz="4" w:space="0"/>
              <w:right w:val="single" w:color="000000" w:sz="4" w:space="0"/>
            </w:tcBorders>
            <w:shd w:val="clear" w:color="auto" w:fill="AEAAAA"/>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决算金额</w:t>
            </w:r>
          </w:p>
        </w:tc>
        <w:tc>
          <w:tcPr>
            <w:tcW w:w="1272" w:type="dxa"/>
            <w:tcBorders>
              <w:top w:val="single" w:color="000000" w:sz="4" w:space="0"/>
              <w:left w:val="single" w:color="000000" w:sz="4" w:space="0"/>
              <w:bottom w:val="single" w:color="000000" w:sz="4" w:space="0"/>
              <w:right w:val="single" w:color="000000" w:sz="4" w:space="0"/>
            </w:tcBorders>
            <w:shd w:val="clear" w:color="auto" w:fill="AEAAAA"/>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差额</w:t>
            </w:r>
          </w:p>
        </w:tc>
        <w:tc>
          <w:tcPr>
            <w:tcW w:w="1128" w:type="dxa"/>
            <w:tcBorders>
              <w:top w:val="single" w:color="000000" w:sz="4" w:space="0"/>
              <w:left w:val="single" w:color="000000" w:sz="4" w:space="0"/>
              <w:bottom w:val="single" w:color="000000" w:sz="4" w:space="0"/>
              <w:right w:val="single" w:color="000000" w:sz="4" w:space="0"/>
            </w:tcBorders>
            <w:shd w:val="clear" w:color="auto" w:fill="AEAAAA"/>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完成率</w:t>
            </w:r>
          </w:p>
        </w:tc>
      </w:tr>
      <w:tr>
        <w:tblPrEx>
          <w:tblCellMar>
            <w:top w:w="0" w:type="dxa"/>
            <w:left w:w="0" w:type="dxa"/>
            <w:bottom w:w="0" w:type="dxa"/>
            <w:right w:w="0" w:type="dxa"/>
          </w:tblCellMar>
        </w:tblPrEx>
        <w:trPr>
          <w:trHeight w:val="312" w:hRule="atLeast"/>
        </w:trPr>
        <w:tc>
          <w:tcPr>
            <w:tcW w:w="24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公务接待费</w:t>
            </w:r>
          </w:p>
        </w:tc>
        <w:tc>
          <w:tcPr>
            <w:tcW w:w="14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4,234.00 </w:t>
            </w:r>
          </w:p>
        </w:tc>
        <w:tc>
          <w:tcPr>
            <w:tcW w:w="14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auto"/>
                <w:kern w:val="0"/>
                <w:sz w:val="24"/>
                <w:szCs w:val="24"/>
                <w:u w:val="none"/>
                <w:lang w:val="en-US" w:eastAsia="zh-CN" w:bidi="ar"/>
              </w:rPr>
              <w:t xml:space="preserve">2,548.00 </w:t>
            </w:r>
          </w:p>
        </w:tc>
        <w:tc>
          <w:tcPr>
            <w:tcW w:w="12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auto"/>
                <w:kern w:val="0"/>
                <w:sz w:val="24"/>
                <w:szCs w:val="24"/>
                <w:u w:val="none"/>
                <w:lang w:val="en-US" w:eastAsia="zh-CN" w:bidi="ar"/>
              </w:rPr>
              <w:t xml:space="preserve">1,686.00 </w:t>
            </w: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auto"/>
                <w:kern w:val="0"/>
                <w:sz w:val="24"/>
                <w:szCs w:val="24"/>
                <w:u w:val="none"/>
                <w:lang w:val="en-US" w:eastAsia="zh-CN" w:bidi="ar"/>
              </w:rPr>
              <w:t>60.18%</w:t>
            </w:r>
          </w:p>
        </w:tc>
      </w:tr>
      <w:tr>
        <w:tblPrEx>
          <w:tblCellMar>
            <w:top w:w="0" w:type="dxa"/>
            <w:left w:w="0" w:type="dxa"/>
            <w:bottom w:w="0" w:type="dxa"/>
            <w:right w:w="0" w:type="dxa"/>
          </w:tblCellMar>
        </w:tblPrEx>
        <w:trPr>
          <w:trHeight w:val="312" w:hRule="atLeast"/>
        </w:trPr>
        <w:tc>
          <w:tcPr>
            <w:tcW w:w="24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公务用车运行维护费</w:t>
            </w:r>
          </w:p>
        </w:tc>
        <w:tc>
          <w:tcPr>
            <w:tcW w:w="14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c>
          <w:tcPr>
            <w:tcW w:w="14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c>
          <w:tcPr>
            <w:tcW w:w="12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312" w:hRule="atLeast"/>
        </w:trPr>
        <w:tc>
          <w:tcPr>
            <w:tcW w:w="24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因公出国（境）费</w:t>
            </w:r>
          </w:p>
        </w:tc>
        <w:tc>
          <w:tcPr>
            <w:tcW w:w="14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0 </w:t>
            </w:r>
          </w:p>
        </w:tc>
        <w:tc>
          <w:tcPr>
            <w:tcW w:w="14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0 </w:t>
            </w:r>
          </w:p>
        </w:tc>
        <w:tc>
          <w:tcPr>
            <w:tcW w:w="12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0 </w:t>
            </w: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0%</w:t>
            </w:r>
          </w:p>
        </w:tc>
      </w:tr>
    </w:tbl>
    <w:p>
      <w:pPr>
        <w:widowControl/>
        <w:adjustRightInd w:val="0"/>
        <w:snapToGrid w:val="0"/>
        <w:spacing w:line="480" w:lineRule="exact"/>
        <w:ind w:firstLine="720"/>
        <w:jc w:val="left"/>
        <w:rPr>
          <w:rFonts w:hint="eastAsia" w:ascii="仿宋_GB2312" w:hAnsi="宋体" w:cs="宋体"/>
          <w:color w:val="000000"/>
          <w:kern w:val="0"/>
          <w:lang w:val="zh-CN" w:eastAsia="zh-CN"/>
        </w:rPr>
      </w:pPr>
    </w:p>
    <w:p>
      <w:pPr>
        <w:ind w:firstLine="643" w:firstLineChars="200"/>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（三）综合管理情况。</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包括政府性债务管理、非税收入执收、政策采购实施计划、资产管理、内控制度管理、信息公开、绩效评价及依法接受财政监督情况等。</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1.政府采购实施计划</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本单位严格按照《预算法》的规定，政府采购的实施与部门预算中采购预算一致，且按要求完成采购备案。</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2.资产管理</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截止20</w:t>
      </w:r>
      <w:r>
        <w:rPr>
          <w:rFonts w:hint="eastAsia" w:ascii="仿宋" w:hAnsi="仿宋" w:eastAsia="仿宋" w:cs="仿宋"/>
          <w:sz w:val="32"/>
          <w:szCs w:val="32"/>
          <w:lang w:val="en-US" w:eastAsia="zh-CN"/>
        </w:rPr>
        <w:t>19</w:t>
      </w:r>
      <w:r>
        <w:rPr>
          <w:rFonts w:hint="eastAsia" w:ascii="仿宋" w:hAnsi="仿宋" w:eastAsia="仿宋" w:cs="仿宋"/>
          <w:sz w:val="32"/>
          <w:szCs w:val="32"/>
          <w:lang w:val="zh-CN" w:eastAsia="zh-CN"/>
        </w:rPr>
        <w:t>年</w:t>
      </w:r>
      <w:r>
        <w:rPr>
          <w:rFonts w:hint="eastAsia" w:ascii="仿宋" w:hAnsi="仿宋" w:eastAsia="仿宋" w:cs="仿宋"/>
          <w:sz w:val="32"/>
          <w:szCs w:val="32"/>
          <w:lang w:val="en-US" w:eastAsia="zh-CN"/>
        </w:rPr>
        <w:t>12</w:t>
      </w:r>
      <w:r>
        <w:rPr>
          <w:rFonts w:hint="eastAsia" w:ascii="仿宋" w:hAnsi="仿宋" w:eastAsia="仿宋" w:cs="仿宋"/>
          <w:sz w:val="32"/>
          <w:szCs w:val="32"/>
          <w:lang w:val="zh-CN" w:eastAsia="zh-CN"/>
        </w:rPr>
        <w:t>月，本单位已完成资产管理信息系统的建设，将全部属于本单位的国有资产纳入资产管理信息系统统一管理。于2016年按州财政局的要求完成本单位资产清理工作，并在201</w:t>
      </w:r>
      <w:r>
        <w:rPr>
          <w:rFonts w:hint="eastAsia" w:ascii="仿宋" w:hAnsi="仿宋" w:eastAsia="仿宋" w:cs="仿宋"/>
          <w:sz w:val="32"/>
          <w:szCs w:val="32"/>
          <w:lang w:val="en-US" w:eastAsia="zh-CN"/>
        </w:rPr>
        <w:t>7</w:t>
      </w:r>
      <w:r>
        <w:rPr>
          <w:rFonts w:hint="eastAsia" w:ascii="仿宋" w:hAnsi="仿宋" w:eastAsia="仿宋" w:cs="仿宋"/>
          <w:sz w:val="32"/>
          <w:szCs w:val="32"/>
          <w:lang w:val="zh-CN" w:eastAsia="zh-CN"/>
        </w:rPr>
        <w:t>年底完成清查中发现所有问题的整改工作，彻底使“家底”明晰。于20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eastAsia="zh-CN"/>
        </w:rPr>
        <w:t>年</w:t>
      </w:r>
      <w:r>
        <w:rPr>
          <w:rFonts w:hint="eastAsia" w:ascii="仿宋" w:hAnsi="仿宋" w:eastAsia="仿宋" w:cs="仿宋"/>
          <w:sz w:val="32"/>
          <w:szCs w:val="32"/>
          <w:lang w:val="en-US" w:eastAsia="zh-CN"/>
        </w:rPr>
        <w:t>4</w:t>
      </w:r>
      <w:r>
        <w:rPr>
          <w:rFonts w:hint="eastAsia" w:ascii="仿宋" w:hAnsi="仿宋" w:eastAsia="仿宋" w:cs="仿宋"/>
          <w:sz w:val="32"/>
          <w:szCs w:val="32"/>
          <w:lang w:val="zh-CN" w:eastAsia="zh-CN"/>
        </w:rPr>
        <w:t>月完成201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eastAsia="zh-CN"/>
        </w:rPr>
        <w:t>年度行政事业单位国有资产报表的上报工作。</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3.内控制度管理</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本单位建立了较为完善的内控管理管理体系，并在逐步规范执行中。在201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eastAsia="zh-CN"/>
        </w:rPr>
        <w:t>年度行政事业单位内部控制报告中综合得分为中。</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eastAsia="zh-CN"/>
        </w:rPr>
        <w:t>信息公开</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本单位按规定，及时公开201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eastAsia="zh-CN"/>
        </w:rPr>
        <w:t>年度部门预算。</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eastAsia="zh-CN"/>
        </w:rPr>
        <w:t>绩效评价</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20</w:t>
      </w:r>
      <w:r>
        <w:rPr>
          <w:rFonts w:hint="eastAsia" w:ascii="仿宋" w:hAnsi="仿宋" w:eastAsia="仿宋" w:cs="仿宋"/>
          <w:sz w:val="32"/>
          <w:szCs w:val="32"/>
          <w:lang w:val="en-US" w:eastAsia="zh-CN"/>
        </w:rPr>
        <w:t>19</w:t>
      </w:r>
      <w:r>
        <w:rPr>
          <w:rFonts w:hint="eastAsia" w:ascii="仿宋" w:hAnsi="仿宋" w:eastAsia="仿宋" w:cs="仿宋"/>
          <w:sz w:val="32"/>
          <w:szCs w:val="32"/>
          <w:lang w:val="zh-CN" w:eastAsia="zh-CN"/>
        </w:rPr>
        <w:t>年本单位的项目均按要求实行绩效目标管理，每个项目至少设置了3个项目效果特性指标。</w:t>
      </w:r>
    </w:p>
    <w:p>
      <w:pPr>
        <w:ind w:firstLine="643" w:firstLineChars="200"/>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（四）整体绩效。</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本部门较好的履行了为全州自然资源与科技信息研究，产品研发，成果技术转化、推广，技术咨询服务，为阿坝州自然资源研究开发及科技信息产业发展服务的职责。在201</w:t>
      </w:r>
      <w:r>
        <w:rPr>
          <w:rFonts w:hint="eastAsia" w:ascii="仿宋" w:hAnsi="仿宋" w:eastAsia="仿宋" w:cs="仿宋"/>
          <w:sz w:val="32"/>
          <w:szCs w:val="32"/>
          <w:lang w:val="en-US" w:eastAsia="zh-CN"/>
        </w:rPr>
        <w:t>9</w:t>
      </w:r>
      <w:r>
        <w:rPr>
          <w:rFonts w:hint="eastAsia" w:ascii="仿宋" w:hAnsi="仿宋" w:eastAsia="仿宋" w:cs="仿宋"/>
          <w:sz w:val="32"/>
          <w:szCs w:val="32"/>
          <w:lang w:val="zh-CN" w:eastAsia="zh-CN"/>
        </w:rPr>
        <w:t>年州级事业单位绩效考评中获州科技局考核下属事业单位二等奖。</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zh-CN" w:eastAsia="zh-CN"/>
        </w:rPr>
        <w:t>四、评价结论及建议</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（一）评价结论。</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参照州级部门支出绩效评价指标体系计算，本单位部门整体支出绩效评价得分是：</w:t>
      </w:r>
      <w:r>
        <w:rPr>
          <w:rFonts w:hint="eastAsia" w:ascii="仿宋" w:hAnsi="仿宋" w:eastAsia="仿宋" w:cs="仿宋"/>
          <w:sz w:val="32"/>
          <w:szCs w:val="32"/>
          <w:lang w:val="en-US" w:eastAsia="zh-CN"/>
        </w:rPr>
        <w:t>78.56分。</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（二）存在问题。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1.预算编制不够准确。由于在年度预算执行过程中，有突发情况出现，在预算编制时未将此类因素考虑在内，导致预算不合理的情况出现。</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2.预算执行不均衡，上半年执行进度较慢。由于预算不够准确，且很多工作推进不均衡，上半年的执行进度较慢。</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改进建议。</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进一步加大预算管理，在编制预算时加强与各业务室的交流，要充分考虑各种情况。在充分了解了各项工作任务后，再根据工程进度，付款时限等相对准确地编制下一年预算。</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在编制了相对准确的预算后，还要根据时间积极推进预算的执行，基本保证预算执行的均衡性。</w:t>
      </w:r>
    </w:p>
    <w:p>
      <w:pPr>
        <w:spacing w:line="600" w:lineRule="exact"/>
        <w:jc w:val="center"/>
        <w:outlineLvl w:val="9"/>
        <w:rPr>
          <w:rStyle w:val="25"/>
          <w:rFonts w:ascii="黑体" w:hAnsi="黑体" w:eastAsia="黑体"/>
          <w:b w:val="0"/>
        </w:rPr>
      </w:pPr>
    </w:p>
    <w:p>
      <w:pPr>
        <w:spacing w:line="600" w:lineRule="exact"/>
        <w:jc w:val="center"/>
        <w:outlineLvl w:val="9"/>
        <w:rPr>
          <w:rStyle w:val="25"/>
          <w:rFonts w:ascii="黑体" w:hAnsi="黑体" w:eastAsia="黑体"/>
          <w:b w:val="0"/>
        </w:rPr>
      </w:pPr>
    </w:p>
    <w:p>
      <w:pPr>
        <w:spacing w:line="600" w:lineRule="exact"/>
        <w:jc w:val="center"/>
        <w:outlineLvl w:val="9"/>
        <w:rPr>
          <w:rStyle w:val="25"/>
          <w:rFonts w:ascii="黑体" w:hAnsi="黑体" w:eastAsia="黑体"/>
          <w:b w:val="0"/>
        </w:rPr>
      </w:pPr>
    </w:p>
    <w:p>
      <w:pPr>
        <w:spacing w:line="600" w:lineRule="exact"/>
        <w:jc w:val="center"/>
        <w:outlineLvl w:val="9"/>
        <w:rPr>
          <w:rStyle w:val="25"/>
          <w:rFonts w:ascii="黑体" w:hAnsi="黑体" w:eastAsia="黑体"/>
          <w:b w:val="0"/>
        </w:rPr>
      </w:pPr>
    </w:p>
    <w:p>
      <w:pPr>
        <w:spacing w:line="600" w:lineRule="exact"/>
        <w:jc w:val="center"/>
        <w:outlineLvl w:val="9"/>
        <w:rPr>
          <w:rStyle w:val="25"/>
          <w:rFonts w:ascii="黑体" w:hAnsi="黑体" w:eastAsia="黑体"/>
          <w:b w:val="0"/>
        </w:rPr>
      </w:pPr>
    </w:p>
    <w:p>
      <w:pPr>
        <w:spacing w:line="600" w:lineRule="exact"/>
        <w:jc w:val="center"/>
        <w:outlineLvl w:val="9"/>
        <w:rPr>
          <w:rStyle w:val="25"/>
          <w:rFonts w:ascii="黑体" w:hAnsi="黑体" w:eastAsia="黑体"/>
          <w:b w:val="0"/>
        </w:rPr>
      </w:pPr>
    </w:p>
    <w:p>
      <w:pPr>
        <w:spacing w:line="600" w:lineRule="exact"/>
        <w:jc w:val="center"/>
        <w:outlineLvl w:val="0"/>
        <w:rPr>
          <w:rStyle w:val="25"/>
          <w:rFonts w:ascii="黑体" w:hAnsi="黑体" w:eastAsia="黑体"/>
          <w:b w:val="0"/>
        </w:rPr>
      </w:pPr>
      <w:bookmarkStart w:id="76" w:name="_Toc15396618"/>
      <w:bookmarkStart w:id="77" w:name="_Toc21413"/>
      <w:r>
        <w:rPr>
          <w:rFonts w:hint="eastAsia" w:ascii="黑体" w:hAnsi="黑体" w:eastAsia="黑体"/>
          <w:color w:val="000000"/>
          <w:sz w:val="44"/>
          <w:szCs w:val="44"/>
        </w:rPr>
        <w:t>第</w:t>
      </w:r>
      <w:r>
        <w:rPr>
          <w:rStyle w:val="25"/>
          <w:rFonts w:hint="eastAsia" w:ascii="黑体" w:hAnsi="黑体" w:eastAsia="黑体"/>
          <w:b w:val="0"/>
        </w:rPr>
        <w:t>五部分 附表</w:t>
      </w:r>
      <w:bookmarkEnd w:id="72"/>
      <w:bookmarkEnd w:id="76"/>
      <w:bookmarkEnd w:id="77"/>
    </w:p>
    <w:p>
      <w:pPr>
        <w:spacing w:line="600" w:lineRule="exact"/>
        <w:jc w:val="center"/>
        <w:outlineLvl w:val="9"/>
        <w:rPr>
          <w:rFonts w:ascii="仿宋" w:hAnsi="仿宋" w:eastAsia="仿宋"/>
          <w:b/>
          <w:color w:val="000000"/>
          <w:sz w:val="44"/>
          <w:szCs w:val="44"/>
        </w:rPr>
      </w:pPr>
    </w:p>
    <w:p>
      <w:pPr>
        <w:pStyle w:val="3"/>
        <w:rPr>
          <w:rFonts w:hint="eastAsia" w:ascii="黑体" w:hAnsi="黑体" w:eastAsia="黑体"/>
          <w:b w:val="0"/>
          <w:color w:val="000000"/>
        </w:rPr>
      </w:pPr>
      <w:bookmarkStart w:id="78" w:name="_Toc15396619"/>
      <w:bookmarkStart w:id="79" w:name="_Toc2444"/>
      <w:r>
        <w:rPr>
          <w:rFonts w:hint="eastAsia" w:ascii="黑体" w:hAnsi="黑体" w:eastAsia="黑体"/>
          <w:b w:val="0"/>
          <w:color w:val="000000"/>
        </w:rPr>
        <w:t>一、收入支出决算总表</w:t>
      </w:r>
      <w:bookmarkEnd w:id="78"/>
      <w:bookmarkEnd w:id="79"/>
    </w:p>
    <w:p>
      <w:pPr>
        <w:pStyle w:val="3"/>
        <w:rPr>
          <w:rFonts w:hint="eastAsia" w:ascii="黑体" w:hAnsi="黑体" w:eastAsia="黑体"/>
          <w:b w:val="0"/>
          <w:color w:val="000000"/>
        </w:rPr>
      </w:pPr>
      <w:bookmarkStart w:id="80" w:name="_Toc15396620"/>
      <w:bookmarkStart w:id="81" w:name="_Toc17055"/>
      <w:r>
        <w:rPr>
          <w:rFonts w:hint="eastAsia" w:ascii="黑体" w:hAnsi="黑体" w:eastAsia="黑体"/>
          <w:b w:val="0"/>
          <w:color w:val="000000"/>
        </w:rPr>
        <w:t>二、收入决算表</w:t>
      </w:r>
      <w:bookmarkEnd w:id="80"/>
      <w:bookmarkEnd w:id="81"/>
    </w:p>
    <w:p>
      <w:pPr>
        <w:pStyle w:val="3"/>
        <w:rPr>
          <w:rFonts w:hint="eastAsia" w:ascii="黑体" w:hAnsi="黑体" w:eastAsia="黑体"/>
          <w:b w:val="0"/>
          <w:color w:val="000000"/>
        </w:rPr>
      </w:pPr>
      <w:bookmarkStart w:id="82" w:name="_Toc15396621"/>
      <w:bookmarkStart w:id="83" w:name="_Toc31364"/>
      <w:r>
        <w:rPr>
          <w:rFonts w:hint="eastAsia" w:ascii="黑体" w:hAnsi="黑体" w:eastAsia="黑体"/>
          <w:b w:val="0"/>
          <w:color w:val="000000"/>
        </w:rPr>
        <w:t>三、支出决算表</w:t>
      </w:r>
      <w:bookmarkEnd w:id="82"/>
      <w:bookmarkEnd w:id="83"/>
    </w:p>
    <w:p>
      <w:pPr>
        <w:pStyle w:val="3"/>
        <w:rPr>
          <w:rFonts w:hint="eastAsia" w:ascii="黑体" w:hAnsi="黑体" w:eastAsia="黑体"/>
          <w:b w:val="0"/>
          <w:color w:val="000000"/>
        </w:rPr>
      </w:pPr>
      <w:bookmarkStart w:id="84" w:name="_Toc3884"/>
      <w:bookmarkStart w:id="85" w:name="_Toc15396622"/>
      <w:r>
        <w:rPr>
          <w:rFonts w:hint="eastAsia" w:ascii="黑体" w:hAnsi="黑体" w:eastAsia="黑体"/>
          <w:b w:val="0"/>
          <w:color w:val="000000"/>
        </w:rPr>
        <w:t>四、财政拨款收入支出决算总表</w:t>
      </w:r>
      <w:bookmarkEnd w:id="84"/>
      <w:bookmarkEnd w:id="85"/>
    </w:p>
    <w:p>
      <w:pPr>
        <w:pStyle w:val="3"/>
        <w:rPr>
          <w:rFonts w:hint="eastAsia" w:ascii="黑体" w:hAnsi="黑体" w:eastAsia="黑体"/>
          <w:b w:val="0"/>
          <w:color w:val="000000"/>
        </w:rPr>
      </w:pPr>
      <w:bookmarkStart w:id="86" w:name="_Toc15396623"/>
      <w:bookmarkStart w:id="87" w:name="_Toc11038"/>
      <w:r>
        <w:rPr>
          <w:rFonts w:hint="eastAsia" w:ascii="黑体" w:hAnsi="黑体" w:eastAsia="黑体"/>
          <w:b w:val="0"/>
          <w:color w:val="000000"/>
        </w:rPr>
        <w:t>五、财政拨款支出决算明细表</w:t>
      </w:r>
      <w:bookmarkEnd w:id="86"/>
      <w:bookmarkEnd w:id="87"/>
      <w:bookmarkStart w:id="88" w:name="_Toc15396624"/>
    </w:p>
    <w:p>
      <w:pPr>
        <w:pStyle w:val="3"/>
        <w:rPr>
          <w:rFonts w:hint="eastAsia" w:ascii="黑体" w:hAnsi="黑体" w:eastAsia="黑体"/>
          <w:b w:val="0"/>
          <w:color w:val="000000"/>
        </w:rPr>
      </w:pPr>
      <w:bookmarkStart w:id="89" w:name="_Toc23736"/>
      <w:r>
        <w:rPr>
          <w:rFonts w:hint="eastAsia" w:ascii="黑体" w:hAnsi="黑体" w:eastAsia="黑体"/>
          <w:b w:val="0"/>
          <w:color w:val="000000"/>
        </w:rPr>
        <w:t>六、一般公共预算财政拨款支出决算表</w:t>
      </w:r>
      <w:bookmarkEnd w:id="88"/>
      <w:bookmarkEnd w:id="89"/>
    </w:p>
    <w:p>
      <w:pPr>
        <w:pStyle w:val="3"/>
        <w:rPr>
          <w:rFonts w:hint="eastAsia" w:ascii="黑体" w:hAnsi="黑体" w:eastAsia="黑体"/>
          <w:b w:val="0"/>
          <w:color w:val="000000"/>
        </w:rPr>
      </w:pPr>
      <w:bookmarkStart w:id="90" w:name="_Toc15396625"/>
      <w:bookmarkStart w:id="91" w:name="_Toc15884"/>
      <w:r>
        <w:rPr>
          <w:rFonts w:hint="eastAsia" w:ascii="黑体" w:hAnsi="黑体" w:eastAsia="黑体"/>
          <w:b w:val="0"/>
          <w:color w:val="000000"/>
        </w:rPr>
        <w:t>七、一般公共预算财政拨款支出决算明细表</w:t>
      </w:r>
      <w:bookmarkEnd w:id="90"/>
      <w:bookmarkEnd w:id="91"/>
    </w:p>
    <w:p>
      <w:pPr>
        <w:pStyle w:val="3"/>
        <w:rPr>
          <w:rFonts w:hint="eastAsia" w:ascii="黑体" w:hAnsi="黑体" w:eastAsia="黑体"/>
          <w:b w:val="0"/>
          <w:color w:val="000000"/>
        </w:rPr>
      </w:pPr>
      <w:bookmarkStart w:id="92" w:name="_Toc15396626"/>
      <w:bookmarkStart w:id="93" w:name="_Toc25686"/>
      <w:r>
        <w:rPr>
          <w:rFonts w:hint="eastAsia" w:ascii="黑体" w:hAnsi="黑体" w:eastAsia="黑体"/>
          <w:b w:val="0"/>
          <w:color w:val="000000"/>
        </w:rPr>
        <w:t>八、一般公共预算财政拨款基本支出决算表</w:t>
      </w:r>
      <w:bookmarkEnd w:id="92"/>
      <w:bookmarkEnd w:id="93"/>
    </w:p>
    <w:p>
      <w:pPr>
        <w:pStyle w:val="3"/>
        <w:rPr>
          <w:rFonts w:hint="eastAsia" w:ascii="黑体" w:hAnsi="黑体" w:eastAsia="黑体"/>
          <w:b w:val="0"/>
          <w:color w:val="000000"/>
        </w:rPr>
      </w:pPr>
      <w:bookmarkStart w:id="94" w:name="_Toc15396627"/>
      <w:bookmarkStart w:id="95" w:name="_Toc19607"/>
      <w:r>
        <w:rPr>
          <w:rFonts w:hint="eastAsia" w:ascii="黑体" w:hAnsi="黑体" w:eastAsia="黑体"/>
          <w:b w:val="0"/>
          <w:color w:val="000000"/>
        </w:rPr>
        <w:t>九、一般公共预算财政拨款项目支出决算表</w:t>
      </w:r>
      <w:bookmarkEnd w:id="94"/>
      <w:bookmarkEnd w:id="95"/>
    </w:p>
    <w:p>
      <w:pPr>
        <w:pStyle w:val="3"/>
        <w:rPr>
          <w:rFonts w:hint="eastAsia" w:ascii="黑体" w:hAnsi="黑体" w:eastAsia="黑体"/>
          <w:b w:val="0"/>
          <w:color w:val="000000"/>
        </w:rPr>
      </w:pPr>
      <w:bookmarkStart w:id="96" w:name="_Toc15396628"/>
      <w:bookmarkStart w:id="97" w:name="_Toc5286"/>
      <w:r>
        <w:rPr>
          <w:rFonts w:hint="eastAsia" w:ascii="黑体" w:hAnsi="黑体" w:eastAsia="黑体"/>
          <w:b w:val="0"/>
          <w:color w:val="000000"/>
        </w:rPr>
        <w:t>十、一般公共预算财政拨款“三公”经费支出决算表</w:t>
      </w:r>
      <w:bookmarkEnd w:id="96"/>
      <w:bookmarkEnd w:id="97"/>
    </w:p>
    <w:p>
      <w:pPr>
        <w:pStyle w:val="3"/>
        <w:rPr>
          <w:rFonts w:hint="eastAsia" w:ascii="黑体" w:hAnsi="黑体" w:eastAsia="黑体"/>
          <w:b w:val="0"/>
          <w:color w:val="000000"/>
        </w:rPr>
      </w:pPr>
      <w:bookmarkStart w:id="98" w:name="_Toc15396629"/>
      <w:bookmarkStart w:id="99" w:name="_Toc17263"/>
      <w:r>
        <w:rPr>
          <w:rFonts w:hint="eastAsia" w:ascii="黑体" w:hAnsi="黑体" w:eastAsia="黑体"/>
          <w:b w:val="0"/>
          <w:color w:val="000000"/>
        </w:rPr>
        <w:t>十一、政府性基金预算财政拨款收入支出决算表</w:t>
      </w:r>
      <w:bookmarkEnd w:id="98"/>
      <w:bookmarkEnd w:id="99"/>
    </w:p>
    <w:p>
      <w:pPr>
        <w:pStyle w:val="3"/>
        <w:rPr>
          <w:rFonts w:hint="eastAsia" w:ascii="黑体" w:hAnsi="黑体" w:eastAsia="黑体"/>
          <w:b w:val="0"/>
          <w:color w:val="000000"/>
        </w:rPr>
      </w:pPr>
      <w:bookmarkStart w:id="100" w:name="_Toc15396630"/>
      <w:bookmarkStart w:id="101" w:name="_Toc17895"/>
      <w:r>
        <w:rPr>
          <w:rFonts w:hint="eastAsia" w:ascii="黑体" w:hAnsi="黑体" w:eastAsia="黑体"/>
          <w:b w:val="0"/>
          <w:color w:val="000000"/>
        </w:rPr>
        <w:t>十二、政府性基金预算财政拨款“三公”经费支出决算表</w:t>
      </w:r>
      <w:bookmarkEnd w:id="100"/>
      <w:bookmarkEnd w:id="101"/>
    </w:p>
    <w:p>
      <w:pPr>
        <w:pStyle w:val="3"/>
        <w:rPr>
          <w:rFonts w:hint="eastAsia" w:ascii="黑体" w:hAnsi="黑体" w:eastAsia="黑体"/>
          <w:b w:val="0"/>
          <w:color w:val="000000"/>
        </w:rPr>
      </w:pPr>
      <w:bookmarkStart w:id="102" w:name="_Toc15396631"/>
      <w:bookmarkStart w:id="103" w:name="_Toc26365"/>
      <w:r>
        <w:rPr>
          <w:rFonts w:hint="eastAsia" w:ascii="黑体" w:hAnsi="黑体" w:eastAsia="黑体"/>
          <w:b w:val="0"/>
          <w:color w:val="000000"/>
        </w:rPr>
        <w:t>十三、国有资本经营预算支出决算表</w:t>
      </w:r>
      <w:bookmarkEnd w:id="102"/>
      <w:bookmarkEnd w:id="10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1C277"/>
    <w:multiLevelType w:val="singleLevel"/>
    <w:tmpl w:val="81B1C277"/>
    <w:lvl w:ilvl="0" w:tentative="0">
      <w:start w:val="3"/>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69FB42A"/>
    <w:multiLevelType w:val="singleLevel"/>
    <w:tmpl w:val="F69FB42A"/>
    <w:lvl w:ilvl="0" w:tentative="0">
      <w:start w:val="1"/>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B44DF"/>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3285"/>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C4D5B"/>
    <w:rsid w:val="004E0A2D"/>
    <w:rsid w:val="004E206B"/>
    <w:rsid w:val="004E6DF7"/>
    <w:rsid w:val="004F0FBD"/>
    <w:rsid w:val="004F403E"/>
    <w:rsid w:val="00505A47"/>
    <w:rsid w:val="00512FDA"/>
    <w:rsid w:val="00520DA0"/>
    <w:rsid w:val="005274B7"/>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4936"/>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2420"/>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B6E31"/>
    <w:rsid w:val="01421024"/>
    <w:rsid w:val="032A3832"/>
    <w:rsid w:val="04A9004B"/>
    <w:rsid w:val="057E3159"/>
    <w:rsid w:val="06104D07"/>
    <w:rsid w:val="062075B8"/>
    <w:rsid w:val="06DF1CA7"/>
    <w:rsid w:val="070721CA"/>
    <w:rsid w:val="0AF73088"/>
    <w:rsid w:val="0C576FFD"/>
    <w:rsid w:val="0E4D6A95"/>
    <w:rsid w:val="0E5A3AEC"/>
    <w:rsid w:val="0FBF0FBF"/>
    <w:rsid w:val="10C055FF"/>
    <w:rsid w:val="10F73AF2"/>
    <w:rsid w:val="14AA3396"/>
    <w:rsid w:val="150E5330"/>
    <w:rsid w:val="153C2397"/>
    <w:rsid w:val="16BB723D"/>
    <w:rsid w:val="176D5964"/>
    <w:rsid w:val="19924297"/>
    <w:rsid w:val="212666CD"/>
    <w:rsid w:val="21762E85"/>
    <w:rsid w:val="229F56D7"/>
    <w:rsid w:val="240371BF"/>
    <w:rsid w:val="24AA299E"/>
    <w:rsid w:val="26B814E0"/>
    <w:rsid w:val="28420137"/>
    <w:rsid w:val="28704166"/>
    <w:rsid w:val="29FD04D3"/>
    <w:rsid w:val="2B2C2534"/>
    <w:rsid w:val="2B722102"/>
    <w:rsid w:val="2C343426"/>
    <w:rsid w:val="2C991F83"/>
    <w:rsid w:val="2CD258EE"/>
    <w:rsid w:val="2F2F7904"/>
    <w:rsid w:val="319F7F4E"/>
    <w:rsid w:val="323F7698"/>
    <w:rsid w:val="329A53DE"/>
    <w:rsid w:val="34433C60"/>
    <w:rsid w:val="363E0470"/>
    <w:rsid w:val="37D84042"/>
    <w:rsid w:val="38967263"/>
    <w:rsid w:val="38A7764F"/>
    <w:rsid w:val="3A03445A"/>
    <w:rsid w:val="3D947C28"/>
    <w:rsid w:val="3DAB3A0F"/>
    <w:rsid w:val="3F575A51"/>
    <w:rsid w:val="3F6C6B2A"/>
    <w:rsid w:val="413C1F95"/>
    <w:rsid w:val="42BE156C"/>
    <w:rsid w:val="43264CC0"/>
    <w:rsid w:val="43B34DAA"/>
    <w:rsid w:val="45234F68"/>
    <w:rsid w:val="47BB04D5"/>
    <w:rsid w:val="49927EB5"/>
    <w:rsid w:val="4B65709B"/>
    <w:rsid w:val="4E541F14"/>
    <w:rsid w:val="4ECE2238"/>
    <w:rsid w:val="51D87FFF"/>
    <w:rsid w:val="52CB0FFD"/>
    <w:rsid w:val="537878B6"/>
    <w:rsid w:val="53A921FA"/>
    <w:rsid w:val="543F3871"/>
    <w:rsid w:val="56D70F26"/>
    <w:rsid w:val="58863224"/>
    <w:rsid w:val="59A8109C"/>
    <w:rsid w:val="59F90E94"/>
    <w:rsid w:val="5C09121D"/>
    <w:rsid w:val="5CDC4F57"/>
    <w:rsid w:val="5D392B87"/>
    <w:rsid w:val="5F1751BE"/>
    <w:rsid w:val="60DF678E"/>
    <w:rsid w:val="61A0088A"/>
    <w:rsid w:val="64DE3D59"/>
    <w:rsid w:val="654D5CC1"/>
    <w:rsid w:val="663A37D4"/>
    <w:rsid w:val="67310295"/>
    <w:rsid w:val="68C555AC"/>
    <w:rsid w:val="695A3EF3"/>
    <w:rsid w:val="6C747619"/>
    <w:rsid w:val="6CE5157E"/>
    <w:rsid w:val="6D920D46"/>
    <w:rsid w:val="6DFD4FE3"/>
    <w:rsid w:val="6EA66763"/>
    <w:rsid w:val="6F15279D"/>
    <w:rsid w:val="6F2960A7"/>
    <w:rsid w:val="6F644474"/>
    <w:rsid w:val="6FB144A2"/>
    <w:rsid w:val="70251C63"/>
    <w:rsid w:val="7233478D"/>
    <w:rsid w:val="72624FFC"/>
    <w:rsid w:val="72734D90"/>
    <w:rsid w:val="732835D4"/>
    <w:rsid w:val="73700971"/>
    <w:rsid w:val="73BA6C2C"/>
    <w:rsid w:val="764A24D4"/>
    <w:rsid w:val="77CB6705"/>
    <w:rsid w:val="79601877"/>
    <w:rsid w:val="79A96717"/>
    <w:rsid w:val="7AE15456"/>
    <w:rsid w:val="7B9E4912"/>
    <w:rsid w:val="7DF16FBC"/>
    <w:rsid w:val="7E922B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rPr>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E9A42-6725-4B54-8806-81E082FBB1A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7319</Characters>
  <Lines>60</Lines>
  <Paragraphs>17</Paragraphs>
  <TotalTime>3</TotalTime>
  <ScaleCrop>false</ScaleCrop>
  <LinksUpToDate>false</LinksUpToDate>
  <CharactersWithSpaces>8586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2020-09-15T07:53:00Z</dcterms:created>
  <dc:creator>曹颖</dc:creator>
  <cp:lastModifiedBy>童话</cp:lastModifiedBy>
  <cp:lastPrinted>2020-07-23T02:58:00Z</cp:lastPrinted>
  <dcterms:modified xsi:type="dcterms:W3CDTF">2020-09-27T08:58:38Z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