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olor w:val="000000"/>
          <w:sz w:val="72"/>
          <w:szCs w:val="72"/>
        </w:rPr>
      </w:pPr>
      <w:bookmarkStart w:id="0" w:name="_Toc15306267"/>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96597"/>
      <w:bookmarkStart w:id="3" w:name="_Toc15378441"/>
      <w:bookmarkStart w:id="4" w:name="_Toc15377425"/>
      <w:bookmarkStart w:id="5" w:name="_Toc15377193"/>
      <w:bookmarkStart w:id="6" w:name="_Toc27310"/>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7149"/>
      <w:bookmarkStart w:id="8" w:name="_Toc15396476"/>
      <w:bookmarkStart w:id="9" w:name="_Toc15377194"/>
      <w:bookmarkStart w:id="10" w:name="_Toc15378442"/>
      <w:bookmarkStart w:id="11" w:name="_Toc15396598"/>
      <w:bookmarkStart w:id="12" w:name="_Toc15377426"/>
      <w:r>
        <w:rPr>
          <w:rFonts w:hint="eastAsia" w:ascii="方正小标宋简体" w:hAnsi="宋体" w:eastAsia="方正小标宋简体"/>
          <w:color w:val="000000"/>
          <w:sz w:val="72"/>
          <w:szCs w:val="72"/>
        </w:rPr>
        <w:t>四川省</w:t>
      </w:r>
      <w:bookmarkEnd w:id="0"/>
      <w:bookmarkStart w:id="13" w:name="_Toc15306268"/>
      <w:r>
        <w:rPr>
          <w:rFonts w:hint="eastAsia" w:ascii="方正小标宋简体" w:hAnsi="宋体" w:eastAsia="方正小标宋简体"/>
          <w:color w:val="000000"/>
          <w:sz w:val="72"/>
          <w:szCs w:val="72"/>
        </w:rPr>
        <w:t>阿坝州生态保护与发展研究院部门决算</w:t>
      </w:r>
      <w:bookmarkEnd w:id="7"/>
      <w:bookmarkEnd w:id="8"/>
      <w:bookmarkEnd w:id="9"/>
      <w:bookmarkEnd w:id="10"/>
      <w:bookmarkEnd w:id="11"/>
      <w:bookmarkEnd w:id="12"/>
      <w:bookmarkEnd w:id="13"/>
    </w:p>
    <w:p>
      <w:pPr>
        <w:autoSpaceDE w:val="0"/>
        <w:autoSpaceDN w:val="0"/>
        <w:adjustRightInd w:val="0"/>
        <w:ind w:firstLine="1276"/>
        <w:jc w:val="left"/>
        <w:rPr>
          <w:rFonts w:ascii="仿宋_GB2312" w:eastAsia="仿宋_GB2312" w:cs="仿宋_GB2312"/>
          <w:sz w:val="32"/>
          <w:szCs w:val="32"/>
        </w:rPr>
      </w:pPr>
    </w:p>
    <w:p>
      <w:pPr>
        <w:autoSpaceDE w:val="0"/>
        <w:autoSpaceDN w:val="0"/>
        <w:adjustRightInd w:val="0"/>
        <w:ind w:firstLine="1276"/>
        <w:jc w:val="left"/>
        <w:rPr>
          <w:rFonts w:ascii="仿宋_GB2312" w:eastAsia="仿宋_GB2312" w:cs="仿宋_GB2312"/>
          <w:sz w:val="32"/>
          <w:szCs w:val="32"/>
        </w:rPr>
      </w:pPr>
    </w:p>
    <w:p>
      <w:pPr>
        <w:autoSpaceDE w:val="0"/>
        <w:autoSpaceDN w:val="0"/>
        <w:adjustRightInd w:val="0"/>
        <w:ind w:firstLine="1276"/>
        <w:jc w:val="left"/>
        <w:rPr>
          <w:rFonts w:ascii="仿宋_GB2312" w:eastAsia="仿宋_GB2312" w:cs="仿宋_GB2312"/>
          <w:sz w:val="32"/>
          <w:szCs w:val="32"/>
        </w:rPr>
      </w:pPr>
    </w:p>
    <w:p>
      <w:pPr>
        <w:autoSpaceDE w:val="0"/>
        <w:autoSpaceDN w:val="0"/>
        <w:adjustRightInd w:val="0"/>
        <w:ind w:firstLine="1276"/>
        <w:jc w:val="left"/>
        <w:rPr>
          <w:rFonts w:ascii="仿宋_GB2312" w:eastAsia="仿宋_GB2312" w:cs="仿宋_GB2312"/>
          <w:sz w:val="32"/>
          <w:szCs w:val="32"/>
        </w:rPr>
      </w:pPr>
    </w:p>
    <w:p>
      <w:pPr>
        <w:autoSpaceDE w:val="0"/>
        <w:autoSpaceDN w:val="0"/>
        <w:adjustRightInd w:val="0"/>
        <w:ind w:firstLine="1276"/>
        <w:jc w:val="left"/>
        <w:rPr>
          <w:rFonts w:ascii="仿宋_GB2312" w:eastAsia="仿宋_GB2312" w:cs="仿宋_GB2312"/>
          <w:sz w:val="32"/>
          <w:szCs w:val="32"/>
        </w:rPr>
      </w:pPr>
    </w:p>
    <w:p>
      <w:pPr>
        <w:autoSpaceDE w:val="0"/>
        <w:autoSpaceDN w:val="0"/>
        <w:adjustRightInd w:val="0"/>
        <w:ind w:firstLine="1276"/>
        <w:jc w:val="left"/>
        <w:rPr>
          <w:rFonts w:eastAsia="仿宋_GB2312"/>
          <w:sz w:val="32"/>
          <w:szCs w:val="32"/>
        </w:rPr>
      </w:pPr>
      <w:r>
        <w:rPr>
          <w:rFonts w:hint="eastAsia" w:ascii="仿宋_GB2312" w:eastAsia="仿宋_GB2312" w:cs="仿宋_GB2312"/>
          <w:sz w:val="32"/>
          <w:szCs w:val="32"/>
        </w:rPr>
        <w:t>保密审查情况：已审查，内容审定</w:t>
      </w:r>
    </w:p>
    <w:p>
      <w:pPr>
        <w:autoSpaceDE w:val="0"/>
        <w:autoSpaceDN w:val="0"/>
        <w:adjustRightInd w:val="0"/>
        <w:ind w:firstLine="1276"/>
        <w:jc w:val="left"/>
        <w:rPr>
          <w:rFonts w:eastAsia="仿宋_GB2312"/>
          <w:sz w:val="32"/>
          <w:szCs w:val="32"/>
        </w:rPr>
      </w:pPr>
      <w:r>
        <w:rPr>
          <w:rFonts w:hint="eastAsia" w:ascii="仿宋_GB2312" w:eastAsia="仿宋_GB2312" w:cs="仿宋_GB2312"/>
          <w:sz w:val="32"/>
          <w:szCs w:val="32"/>
        </w:rPr>
        <w:t>部门主要负责人审签情况：已审签，同意对外公开</w:t>
      </w:r>
    </w:p>
    <w:p>
      <w:pPr>
        <w:autoSpaceDE w:val="0"/>
        <w:autoSpaceDN w:val="0"/>
        <w:adjustRightInd w:val="0"/>
        <w:jc w:val="center"/>
        <w:rPr>
          <w:rFonts w:eastAsia="仿宋_GB2312"/>
          <w:color w:val="000000"/>
          <w:sz w:val="72"/>
          <w:szCs w:val="72"/>
        </w:rPr>
      </w:pPr>
    </w:p>
    <w:p>
      <w:pPr>
        <w:autoSpaceDE w:val="0"/>
        <w:autoSpaceDN w:val="0"/>
        <w:adjustRightInd w:val="0"/>
        <w:jc w:val="center"/>
        <w:rPr>
          <w:rFonts w:eastAsia="仿宋_GB2312"/>
          <w:color w:val="000000"/>
          <w:sz w:val="72"/>
          <w:szCs w:val="7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公开时间：2020年9月</w:t>
      </w:r>
      <w:r>
        <w:t>2</w:t>
      </w:r>
      <w:r>
        <w:rPr>
          <w:rFonts w:hint="eastAsia"/>
        </w:rPr>
        <w:t>8日</w:t>
      </w:r>
    </w:p>
    <w:p/>
    <w:sdt>
      <w:sdtPr>
        <w:rPr>
          <w:rFonts w:ascii="宋体" w:hAnsi="宋体"/>
        </w:rPr>
        <w:id w:val="147458370"/>
        <w:docPartObj>
          <w:docPartGallery w:val="Table of Contents"/>
          <w:docPartUnique/>
        </w:docPartObj>
      </w:sdtPr>
      <w:sdtEndPr>
        <w:rPr>
          <w:rFonts w:hint="eastAsia" w:ascii="楷体" w:hAnsi="楷体" w:eastAsia="楷体" w:cs="楷体"/>
          <w:b/>
          <w:sz w:val="24"/>
        </w:rPr>
      </w:sdtEndPr>
      <w:sdtContent>
        <w:p>
          <w:pPr>
            <w:jc w:val="center"/>
          </w:pPr>
          <w:bookmarkStart w:id="14" w:name="_Toc15377196"/>
          <w:bookmarkStart w:id="15" w:name="_Toc15396599"/>
        </w:p>
        <w:p>
          <w:pPr>
            <w:pStyle w:val="30"/>
            <w:tabs>
              <w:tab w:val="right" w:leader="dot" w:pos="8306"/>
            </w:tabs>
            <w:rPr>
              <w:rFonts w:ascii="楷体" w:hAnsi="楷体" w:eastAsia="楷体" w:cs="楷体"/>
              <w:b/>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TOC \o "1-2" \h \u </w:instrText>
          </w:r>
          <w:r>
            <w:rPr>
              <w:rFonts w:hint="eastAsia" w:ascii="楷体" w:hAnsi="楷体" w:eastAsia="楷体" w:cs="楷体"/>
              <w:sz w:val="24"/>
              <w:szCs w:val="24"/>
            </w:rPr>
            <w:fldChar w:fldCharType="separate"/>
          </w:r>
        </w:p>
        <w:p>
          <w:pPr>
            <w:pStyle w:val="30"/>
            <w:tabs>
              <w:tab w:val="right" w:leader="dot" w:pos="8306"/>
            </w:tabs>
            <w:rPr>
              <w:rFonts w:ascii="楷体" w:hAnsi="楷体" w:eastAsia="楷体" w:cs="楷体"/>
              <w:b/>
              <w:sz w:val="24"/>
              <w:szCs w:val="24"/>
            </w:rPr>
          </w:pPr>
          <w:r>
            <w:fldChar w:fldCharType="begin"/>
          </w:r>
          <w:r>
            <w:instrText xml:space="preserve"> HYPERLINK \l "_Toc21941" </w:instrText>
          </w:r>
          <w:r>
            <w:fldChar w:fldCharType="separate"/>
          </w:r>
          <w:r>
            <w:rPr>
              <w:rFonts w:hint="eastAsia" w:ascii="楷体" w:hAnsi="楷体" w:eastAsia="楷体" w:cs="楷体"/>
              <w:b/>
              <w:sz w:val="24"/>
              <w:szCs w:val="24"/>
            </w:rPr>
            <w:t>第一部分 部门概况</w:t>
          </w:r>
          <w:r>
            <w:rPr>
              <w:rFonts w:hint="eastAsia" w:ascii="楷体" w:hAnsi="楷体" w:eastAsia="楷体" w:cs="楷体"/>
              <w:b/>
              <w:sz w:val="24"/>
              <w:szCs w:val="24"/>
            </w:rPr>
            <w:tab/>
          </w:r>
          <w:r>
            <w:rPr>
              <w:rFonts w:hint="eastAsia" w:ascii="楷体" w:hAnsi="楷体" w:eastAsia="楷体" w:cs="楷体"/>
              <w:b/>
              <w:sz w:val="24"/>
              <w:szCs w:val="24"/>
            </w:rPr>
            <w:fldChar w:fldCharType="begin"/>
          </w:r>
          <w:r>
            <w:rPr>
              <w:rFonts w:hint="eastAsia" w:ascii="楷体" w:hAnsi="楷体" w:eastAsia="楷体" w:cs="楷体"/>
              <w:b/>
              <w:sz w:val="24"/>
              <w:szCs w:val="24"/>
            </w:rPr>
            <w:instrText xml:space="preserve"> PAGEREF _Toc21941 </w:instrText>
          </w:r>
          <w:r>
            <w:rPr>
              <w:rFonts w:hint="eastAsia" w:ascii="楷体" w:hAnsi="楷体" w:eastAsia="楷体" w:cs="楷体"/>
              <w:b/>
              <w:sz w:val="24"/>
              <w:szCs w:val="24"/>
            </w:rPr>
            <w:fldChar w:fldCharType="separate"/>
          </w:r>
          <w:r>
            <w:rPr>
              <w:rFonts w:hint="eastAsia" w:ascii="楷体" w:hAnsi="楷体" w:eastAsia="楷体" w:cs="楷体"/>
              <w:b/>
              <w:sz w:val="24"/>
              <w:szCs w:val="24"/>
            </w:rPr>
            <w:t>3</w:t>
          </w:r>
          <w:r>
            <w:rPr>
              <w:rFonts w:hint="eastAsia" w:ascii="楷体" w:hAnsi="楷体" w:eastAsia="楷体" w:cs="楷体"/>
              <w:b/>
              <w:sz w:val="24"/>
              <w:szCs w:val="24"/>
            </w:rPr>
            <w:fldChar w:fldCharType="end"/>
          </w:r>
          <w:r>
            <w:rPr>
              <w:rFonts w:hint="eastAsia" w:ascii="楷体" w:hAnsi="楷体" w:eastAsia="楷体" w:cs="楷体"/>
              <w:b/>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"_Toc12416" </w:instrText>
          </w:r>
          <w:r>
            <w:fldChar w:fldCharType="separate"/>
          </w:r>
          <w:r>
            <w:rPr>
              <w:rFonts w:hint="eastAsia" w:ascii="楷体" w:hAnsi="楷体" w:eastAsia="楷体" w:cs="楷体"/>
              <w:sz w:val="24"/>
              <w:szCs w:val="24"/>
            </w:rPr>
            <w:t>一、基本职能及主要工作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_Toc12416 </w:instrText>
          </w:r>
          <w:r>
            <w:rPr>
              <w:rFonts w:hint="eastAsia" w:ascii="楷体" w:hAnsi="楷体" w:eastAsia="楷体" w:cs="楷体"/>
              <w:sz w:val="24"/>
              <w:szCs w:val="24"/>
            </w:rPr>
            <w:fldChar w:fldCharType="separate"/>
          </w:r>
          <w:r>
            <w:rPr>
              <w:rFonts w:hint="eastAsia" w:ascii="楷体" w:hAnsi="楷体" w:eastAsia="楷体" w:cs="楷体"/>
              <w:sz w:val="24"/>
              <w:szCs w:val="24"/>
            </w:rPr>
            <w:t>3</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"_Toc30118" </w:instrText>
          </w:r>
          <w:r>
            <w:fldChar w:fldCharType="separate"/>
          </w:r>
          <w:r>
            <w:rPr>
              <w:rFonts w:hint="eastAsia" w:ascii="楷体" w:hAnsi="楷体" w:eastAsia="楷体" w:cs="楷体"/>
              <w:sz w:val="24"/>
              <w:szCs w:val="24"/>
            </w:rPr>
            <w:t>二、机构设置</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_Toc30118 </w:instrText>
          </w:r>
          <w:r>
            <w:rPr>
              <w:rFonts w:hint="eastAsia" w:ascii="楷体" w:hAnsi="楷体" w:eastAsia="楷体" w:cs="楷体"/>
              <w:sz w:val="24"/>
              <w:szCs w:val="24"/>
            </w:rPr>
            <w:fldChar w:fldCharType="separate"/>
          </w:r>
          <w:r>
            <w:rPr>
              <w:rFonts w:hint="eastAsia" w:ascii="楷体" w:hAnsi="楷体" w:eastAsia="楷体" w:cs="楷体"/>
              <w:sz w:val="24"/>
              <w:szCs w:val="24"/>
            </w:rPr>
            <w:t>3</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0"/>
            <w:tabs>
              <w:tab w:val="right" w:leader="dot" w:pos="8306"/>
            </w:tabs>
            <w:rPr>
              <w:rFonts w:ascii="楷体" w:hAnsi="楷体" w:eastAsia="楷体" w:cs="楷体"/>
              <w:b/>
              <w:sz w:val="24"/>
              <w:szCs w:val="24"/>
            </w:rPr>
          </w:pPr>
          <w:r>
            <w:fldChar w:fldCharType="begin"/>
          </w:r>
          <w:r>
            <w:instrText xml:space="preserve"> HYPERLINK \l "_Toc7117" </w:instrText>
          </w:r>
          <w:r>
            <w:fldChar w:fldCharType="separate"/>
          </w:r>
          <w:r>
            <w:rPr>
              <w:rFonts w:hint="eastAsia" w:ascii="楷体" w:hAnsi="楷体" w:eastAsia="楷体" w:cs="楷体"/>
              <w:b/>
              <w:sz w:val="24"/>
              <w:szCs w:val="24"/>
            </w:rPr>
            <w:t>第二部分 2019年度部门决算情况说明</w:t>
          </w:r>
          <w:r>
            <w:rPr>
              <w:rFonts w:hint="eastAsia" w:ascii="楷体" w:hAnsi="楷体" w:eastAsia="楷体" w:cs="楷体"/>
              <w:b/>
              <w:sz w:val="24"/>
              <w:szCs w:val="24"/>
            </w:rPr>
            <w:tab/>
          </w:r>
          <w:r>
            <w:rPr>
              <w:rFonts w:hint="eastAsia" w:ascii="楷体" w:hAnsi="楷体" w:eastAsia="楷体" w:cs="楷体"/>
              <w:b/>
              <w:sz w:val="24"/>
              <w:szCs w:val="24"/>
            </w:rPr>
            <w:fldChar w:fldCharType="begin"/>
          </w:r>
          <w:r>
            <w:rPr>
              <w:rFonts w:hint="eastAsia" w:ascii="楷体" w:hAnsi="楷体" w:eastAsia="楷体" w:cs="楷体"/>
              <w:b/>
              <w:sz w:val="24"/>
              <w:szCs w:val="24"/>
            </w:rPr>
            <w:instrText xml:space="preserve"> PAGEREF _Toc7117 </w:instrText>
          </w:r>
          <w:r>
            <w:rPr>
              <w:rFonts w:hint="eastAsia" w:ascii="楷体" w:hAnsi="楷体" w:eastAsia="楷体" w:cs="楷体"/>
              <w:b/>
              <w:sz w:val="24"/>
              <w:szCs w:val="24"/>
            </w:rPr>
            <w:fldChar w:fldCharType="separate"/>
          </w:r>
          <w:r>
            <w:rPr>
              <w:rFonts w:hint="eastAsia" w:ascii="楷体" w:hAnsi="楷体" w:eastAsia="楷体" w:cs="楷体"/>
              <w:b/>
              <w:sz w:val="24"/>
              <w:szCs w:val="24"/>
            </w:rPr>
            <w:t>8</w:t>
          </w:r>
          <w:r>
            <w:rPr>
              <w:rFonts w:hint="eastAsia" w:ascii="楷体" w:hAnsi="楷体" w:eastAsia="楷体" w:cs="楷体"/>
              <w:b/>
              <w:sz w:val="24"/>
              <w:szCs w:val="24"/>
            </w:rPr>
            <w:fldChar w:fldCharType="end"/>
          </w:r>
          <w:r>
            <w:rPr>
              <w:rFonts w:hint="eastAsia" w:ascii="楷体" w:hAnsi="楷体" w:eastAsia="楷体" w:cs="楷体"/>
              <w:b/>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"_Toc9727" </w:instrText>
          </w:r>
          <w:r>
            <w:fldChar w:fldCharType="separate"/>
          </w:r>
          <w:r>
            <w:rPr>
              <w:rFonts w:hint="eastAsia" w:ascii="楷体" w:hAnsi="楷体" w:eastAsia="楷体" w:cs="楷体"/>
              <w:sz w:val="24"/>
              <w:szCs w:val="24"/>
            </w:rPr>
            <w:t>一、 收入支出决算总体情况说明</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_Toc9727 </w:instrText>
          </w:r>
          <w:r>
            <w:rPr>
              <w:rFonts w:hint="eastAsia" w:ascii="楷体" w:hAnsi="楷体" w:eastAsia="楷体" w:cs="楷体"/>
              <w:sz w:val="24"/>
              <w:szCs w:val="24"/>
            </w:rPr>
            <w:fldChar w:fldCharType="separate"/>
          </w:r>
          <w:r>
            <w:rPr>
              <w:rFonts w:hint="eastAsia" w:ascii="楷体" w:hAnsi="楷体" w:eastAsia="楷体" w:cs="楷体"/>
              <w:sz w:val="24"/>
              <w:szCs w:val="24"/>
            </w:rPr>
            <w:t>8</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"_Toc14631" </w:instrText>
          </w:r>
          <w:r>
            <w:fldChar w:fldCharType="separate"/>
          </w:r>
          <w:r>
            <w:rPr>
              <w:rFonts w:hint="eastAsia" w:ascii="楷体" w:hAnsi="楷体" w:eastAsia="楷体" w:cs="楷体"/>
              <w:sz w:val="24"/>
              <w:szCs w:val="24"/>
            </w:rPr>
            <w:t>二、 收入决算情况说明</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_Toc14631 </w:instrText>
          </w:r>
          <w:r>
            <w:rPr>
              <w:rFonts w:hint="eastAsia" w:ascii="楷体" w:hAnsi="楷体" w:eastAsia="楷体" w:cs="楷体"/>
              <w:sz w:val="24"/>
              <w:szCs w:val="24"/>
            </w:rPr>
            <w:fldChar w:fldCharType="separate"/>
          </w:r>
          <w:r>
            <w:rPr>
              <w:rFonts w:hint="eastAsia" w:ascii="楷体" w:hAnsi="楷体" w:eastAsia="楷体" w:cs="楷体"/>
              <w:sz w:val="24"/>
              <w:szCs w:val="24"/>
            </w:rPr>
            <w:t>8</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"_Toc3758" </w:instrText>
          </w:r>
          <w:r>
            <w:fldChar w:fldCharType="separate"/>
          </w:r>
          <w:r>
            <w:rPr>
              <w:rFonts w:hint="eastAsia" w:ascii="楷体" w:hAnsi="楷体" w:eastAsia="楷体" w:cs="楷体"/>
              <w:sz w:val="24"/>
              <w:szCs w:val="24"/>
            </w:rPr>
            <w:t>三、 支出决算情况说明</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_Toc3758 </w:instrText>
          </w:r>
          <w:r>
            <w:rPr>
              <w:rFonts w:hint="eastAsia" w:ascii="楷体" w:hAnsi="楷体" w:eastAsia="楷体" w:cs="楷体"/>
              <w:sz w:val="24"/>
              <w:szCs w:val="24"/>
            </w:rPr>
            <w:fldChar w:fldCharType="separate"/>
          </w:r>
          <w:r>
            <w:rPr>
              <w:rFonts w:hint="eastAsia" w:ascii="楷体" w:hAnsi="楷体" w:eastAsia="楷体" w:cs="楷体"/>
              <w:sz w:val="24"/>
              <w:szCs w:val="24"/>
            </w:rPr>
            <w:t>9</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"_Toc12078" </w:instrText>
          </w:r>
          <w:r>
            <w:fldChar w:fldCharType="separate"/>
          </w:r>
          <w:r>
            <w:rPr>
              <w:rFonts w:hint="eastAsia" w:ascii="楷体" w:hAnsi="楷体" w:eastAsia="楷体" w:cs="楷体"/>
              <w:sz w:val="24"/>
              <w:szCs w:val="24"/>
            </w:rPr>
            <w:t>四、财政拨款收入支出决算总体情况说明</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_Toc12078 </w:instrText>
          </w:r>
          <w:r>
            <w:rPr>
              <w:rFonts w:hint="eastAsia" w:ascii="楷体" w:hAnsi="楷体" w:eastAsia="楷体" w:cs="楷体"/>
              <w:sz w:val="24"/>
              <w:szCs w:val="24"/>
            </w:rPr>
            <w:fldChar w:fldCharType="separate"/>
          </w:r>
          <w:r>
            <w:rPr>
              <w:rFonts w:hint="eastAsia" w:ascii="楷体" w:hAnsi="楷体" w:eastAsia="楷体" w:cs="楷体"/>
              <w:sz w:val="24"/>
              <w:szCs w:val="24"/>
            </w:rPr>
            <w:t>10</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"_Toc17763" </w:instrText>
          </w:r>
          <w:r>
            <w:fldChar w:fldCharType="separate"/>
          </w:r>
          <w:r>
            <w:rPr>
              <w:rFonts w:hint="eastAsia" w:ascii="楷体" w:hAnsi="楷体" w:eastAsia="楷体" w:cs="楷体"/>
              <w:sz w:val="24"/>
              <w:szCs w:val="24"/>
            </w:rPr>
            <w:t>五、一般公共预算财政拨款支出决算情况说明</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_Toc17763 </w:instrText>
          </w:r>
          <w:r>
            <w:rPr>
              <w:rFonts w:hint="eastAsia" w:ascii="楷体" w:hAnsi="楷体" w:eastAsia="楷体" w:cs="楷体"/>
              <w:sz w:val="24"/>
              <w:szCs w:val="24"/>
            </w:rPr>
            <w:fldChar w:fldCharType="separate"/>
          </w:r>
          <w:r>
            <w:rPr>
              <w:rFonts w:hint="eastAsia" w:ascii="楷体" w:hAnsi="楷体" w:eastAsia="楷体" w:cs="楷体"/>
              <w:sz w:val="24"/>
              <w:szCs w:val="24"/>
            </w:rPr>
            <w:t>10</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"_Toc12182" </w:instrText>
          </w:r>
          <w:r>
            <w:fldChar w:fldCharType="separate"/>
          </w:r>
          <w:r>
            <w:rPr>
              <w:rFonts w:hint="eastAsia" w:ascii="楷体" w:hAnsi="楷体" w:eastAsia="楷体" w:cs="楷体"/>
              <w:sz w:val="24"/>
              <w:szCs w:val="24"/>
            </w:rPr>
            <w:t>六、一般公共预算财政拨款基本支出决算情况说明</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_Toc12182 </w:instrText>
          </w:r>
          <w:r>
            <w:rPr>
              <w:rFonts w:hint="eastAsia" w:ascii="楷体" w:hAnsi="楷体" w:eastAsia="楷体" w:cs="楷体"/>
              <w:sz w:val="24"/>
              <w:szCs w:val="24"/>
            </w:rPr>
            <w:fldChar w:fldCharType="separate"/>
          </w:r>
          <w:r>
            <w:rPr>
              <w:rFonts w:hint="eastAsia" w:ascii="楷体" w:hAnsi="楷体" w:eastAsia="楷体" w:cs="楷体"/>
              <w:sz w:val="24"/>
              <w:szCs w:val="24"/>
            </w:rPr>
            <w:t>14</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"_Toc28341" </w:instrText>
          </w:r>
          <w:r>
            <w:fldChar w:fldCharType="separate"/>
          </w:r>
          <w:r>
            <w:rPr>
              <w:rFonts w:hint="eastAsia" w:ascii="楷体" w:hAnsi="楷体" w:eastAsia="楷体" w:cs="楷体"/>
              <w:sz w:val="24"/>
              <w:szCs w:val="24"/>
            </w:rPr>
            <w:t>七、“三公”经费财政拨款支出决算情况说明</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_Toc28341 </w:instrText>
          </w:r>
          <w:r>
            <w:rPr>
              <w:rFonts w:hint="eastAsia" w:ascii="楷体" w:hAnsi="楷体" w:eastAsia="楷体" w:cs="楷体"/>
              <w:sz w:val="24"/>
              <w:szCs w:val="24"/>
            </w:rPr>
            <w:fldChar w:fldCharType="separate"/>
          </w:r>
          <w:r>
            <w:rPr>
              <w:rFonts w:hint="eastAsia" w:ascii="楷体" w:hAnsi="楷体" w:eastAsia="楷体" w:cs="楷体"/>
              <w:sz w:val="24"/>
              <w:szCs w:val="24"/>
            </w:rPr>
            <w:t>14</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"_Toc27558" </w:instrText>
          </w:r>
          <w:r>
            <w:fldChar w:fldCharType="separate"/>
          </w:r>
          <w:r>
            <w:rPr>
              <w:rFonts w:hint="eastAsia" w:ascii="楷体" w:hAnsi="楷体" w:eastAsia="楷体" w:cs="楷体"/>
              <w:sz w:val="24"/>
              <w:szCs w:val="24"/>
            </w:rPr>
            <w:t>八、政府性基金预算支出决算情况说明</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_Toc27558 </w:instrText>
          </w:r>
          <w:r>
            <w:rPr>
              <w:rFonts w:hint="eastAsia" w:ascii="楷体" w:hAnsi="楷体" w:eastAsia="楷体" w:cs="楷体"/>
              <w:sz w:val="24"/>
              <w:szCs w:val="24"/>
            </w:rPr>
            <w:fldChar w:fldCharType="separate"/>
          </w:r>
          <w:r>
            <w:rPr>
              <w:rFonts w:hint="eastAsia" w:ascii="楷体" w:hAnsi="楷体" w:eastAsia="楷体" w:cs="楷体"/>
              <w:sz w:val="24"/>
              <w:szCs w:val="24"/>
            </w:rPr>
            <w:t>16</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"_Toc27546" </w:instrText>
          </w:r>
          <w:r>
            <w:fldChar w:fldCharType="separate"/>
          </w:r>
          <w:r>
            <w:rPr>
              <w:rFonts w:hint="eastAsia" w:ascii="楷体" w:hAnsi="楷体" w:eastAsia="楷体" w:cs="楷体"/>
              <w:sz w:val="24"/>
              <w:szCs w:val="24"/>
            </w:rPr>
            <w:t>九、 国有资本经营预算支出决算情况说明</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_Toc27546 </w:instrText>
          </w:r>
          <w:r>
            <w:rPr>
              <w:rFonts w:hint="eastAsia" w:ascii="楷体" w:hAnsi="楷体" w:eastAsia="楷体" w:cs="楷体"/>
              <w:sz w:val="24"/>
              <w:szCs w:val="24"/>
            </w:rPr>
            <w:fldChar w:fldCharType="separate"/>
          </w:r>
          <w:r>
            <w:rPr>
              <w:rFonts w:hint="eastAsia" w:ascii="楷体" w:hAnsi="楷体" w:eastAsia="楷体" w:cs="楷体"/>
              <w:sz w:val="24"/>
              <w:szCs w:val="24"/>
            </w:rPr>
            <w:t>16</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"_Toc22103" </w:instrText>
          </w:r>
          <w:r>
            <w:fldChar w:fldCharType="separate"/>
          </w:r>
          <w:r>
            <w:rPr>
              <w:rFonts w:hint="eastAsia" w:ascii="楷体" w:hAnsi="楷体" w:eastAsia="楷体" w:cs="楷体"/>
              <w:sz w:val="24"/>
              <w:szCs w:val="24"/>
            </w:rPr>
            <w:t>十、其他重要事项的情况说明</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_Toc22103 </w:instrText>
          </w:r>
          <w:r>
            <w:rPr>
              <w:rFonts w:hint="eastAsia" w:ascii="楷体" w:hAnsi="楷体" w:eastAsia="楷体" w:cs="楷体"/>
              <w:sz w:val="24"/>
              <w:szCs w:val="24"/>
            </w:rPr>
            <w:fldChar w:fldCharType="separate"/>
          </w:r>
          <w:r>
            <w:rPr>
              <w:rFonts w:hint="eastAsia" w:ascii="楷体" w:hAnsi="楷体" w:eastAsia="楷体" w:cs="楷体"/>
              <w:sz w:val="24"/>
              <w:szCs w:val="24"/>
            </w:rPr>
            <w:t>16</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0"/>
            <w:tabs>
              <w:tab w:val="right" w:leader="dot" w:pos="8306"/>
            </w:tabs>
            <w:rPr>
              <w:rFonts w:ascii="楷体" w:hAnsi="楷体" w:eastAsia="楷体" w:cs="楷体"/>
              <w:b/>
              <w:sz w:val="24"/>
              <w:szCs w:val="24"/>
            </w:rPr>
          </w:pPr>
          <w:r>
            <w:fldChar w:fldCharType="begin"/>
          </w:r>
          <w:r>
            <w:instrText xml:space="preserve"> HYPERLINK \l "_Toc10625" </w:instrText>
          </w:r>
          <w:r>
            <w:fldChar w:fldCharType="separate"/>
          </w:r>
          <w:r>
            <w:rPr>
              <w:rFonts w:hint="eastAsia" w:ascii="楷体" w:hAnsi="楷体" w:eastAsia="楷体" w:cs="楷体"/>
              <w:b/>
              <w:sz w:val="24"/>
              <w:szCs w:val="24"/>
            </w:rPr>
            <w:t>第三部分 名词解释</w:t>
          </w:r>
          <w:r>
            <w:rPr>
              <w:rFonts w:hint="eastAsia" w:ascii="楷体" w:hAnsi="楷体" w:eastAsia="楷体" w:cs="楷体"/>
              <w:b/>
              <w:sz w:val="24"/>
              <w:szCs w:val="24"/>
            </w:rPr>
            <w:tab/>
          </w:r>
          <w:r>
            <w:rPr>
              <w:rFonts w:hint="eastAsia" w:ascii="楷体" w:hAnsi="楷体" w:eastAsia="楷体" w:cs="楷体"/>
              <w:b/>
              <w:sz w:val="24"/>
              <w:szCs w:val="24"/>
            </w:rPr>
            <w:fldChar w:fldCharType="begin"/>
          </w:r>
          <w:r>
            <w:rPr>
              <w:rFonts w:hint="eastAsia" w:ascii="楷体" w:hAnsi="楷体" w:eastAsia="楷体" w:cs="楷体"/>
              <w:b/>
              <w:sz w:val="24"/>
              <w:szCs w:val="24"/>
            </w:rPr>
            <w:instrText xml:space="preserve"> PAGEREF _Toc10625 </w:instrText>
          </w:r>
          <w:r>
            <w:rPr>
              <w:rFonts w:hint="eastAsia" w:ascii="楷体" w:hAnsi="楷体" w:eastAsia="楷体" w:cs="楷体"/>
              <w:b/>
              <w:sz w:val="24"/>
              <w:szCs w:val="24"/>
            </w:rPr>
            <w:fldChar w:fldCharType="separate"/>
          </w:r>
          <w:r>
            <w:rPr>
              <w:rFonts w:hint="eastAsia" w:ascii="楷体" w:hAnsi="楷体" w:eastAsia="楷体" w:cs="楷体"/>
              <w:b/>
              <w:sz w:val="24"/>
              <w:szCs w:val="24"/>
            </w:rPr>
            <w:t>26</w:t>
          </w:r>
          <w:r>
            <w:rPr>
              <w:rFonts w:hint="eastAsia" w:ascii="楷体" w:hAnsi="楷体" w:eastAsia="楷体" w:cs="楷体"/>
              <w:b/>
              <w:sz w:val="24"/>
              <w:szCs w:val="24"/>
            </w:rPr>
            <w:fldChar w:fldCharType="end"/>
          </w:r>
          <w:r>
            <w:rPr>
              <w:rFonts w:hint="eastAsia" w:ascii="楷体" w:hAnsi="楷体" w:eastAsia="楷体" w:cs="楷体"/>
              <w:b/>
              <w:sz w:val="24"/>
              <w:szCs w:val="24"/>
            </w:rPr>
            <w:fldChar w:fldCharType="end"/>
          </w:r>
        </w:p>
        <w:p>
          <w:pPr>
            <w:pStyle w:val="30"/>
            <w:tabs>
              <w:tab w:val="right" w:leader="dot" w:pos="8306"/>
            </w:tabs>
            <w:rPr>
              <w:rFonts w:ascii="楷体" w:hAnsi="楷体" w:eastAsia="楷体" w:cs="楷体"/>
              <w:b/>
              <w:sz w:val="24"/>
              <w:szCs w:val="24"/>
            </w:rPr>
          </w:pPr>
          <w:r>
            <w:fldChar w:fldCharType="begin"/>
          </w:r>
          <w:r>
            <w:instrText xml:space="preserve"> HYPERLINK \l "_Toc15446" </w:instrText>
          </w:r>
          <w:r>
            <w:fldChar w:fldCharType="separate"/>
          </w:r>
          <w:r>
            <w:rPr>
              <w:rFonts w:hint="eastAsia" w:ascii="楷体" w:hAnsi="楷体" w:eastAsia="楷体" w:cs="楷体"/>
              <w:b/>
              <w:sz w:val="24"/>
              <w:szCs w:val="24"/>
            </w:rPr>
            <w:t>第四部分 附件</w:t>
          </w:r>
          <w:r>
            <w:rPr>
              <w:rFonts w:hint="eastAsia" w:ascii="楷体" w:hAnsi="楷体" w:eastAsia="楷体" w:cs="楷体"/>
              <w:b/>
              <w:sz w:val="24"/>
              <w:szCs w:val="24"/>
            </w:rPr>
            <w:tab/>
          </w:r>
          <w:r>
            <w:rPr>
              <w:rFonts w:hint="eastAsia" w:ascii="楷体" w:hAnsi="楷体" w:eastAsia="楷体" w:cs="楷体"/>
              <w:b/>
              <w:sz w:val="24"/>
              <w:szCs w:val="24"/>
            </w:rPr>
            <w:fldChar w:fldCharType="begin"/>
          </w:r>
          <w:r>
            <w:rPr>
              <w:rFonts w:hint="eastAsia" w:ascii="楷体" w:hAnsi="楷体" w:eastAsia="楷体" w:cs="楷体"/>
              <w:b/>
              <w:sz w:val="24"/>
              <w:szCs w:val="24"/>
            </w:rPr>
            <w:instrText xml:space="preserve"> PAGEREF _Toc15446 </w:instrText>
          </w:r>
          <w:r>
            <w:rPr>
              <w:rFonts w:hint="eastAsia" w:ascii="楷体" w:hAnsi="楷体" w:eastAsia="楷体" w:cs="楷体"/>
              <w:b/>
              <w:sz w:val="24"/>
              <w:szCs w:val="24"/>
            </w:rPr>
            <w:fldChar w:fldCharType="separate"/>
          </w:r>
          <w:r>
            <w:rPr>
              <w:rFonts w:hint="eastAsia" w:ascii="楷体" w:hAnsi="楷体" w:eastAsia="楷体" w:cs="楷体"/>
              <w:b/>
              <w:sz w:val="24"/>
              <w:szCs w:val="24"/>
            </w:rPr>
            <w:t>30</w:t>
          </w:r>
          <w:r>
            <w:rPr>
              <w:rFonts w:hint="eastAsia" w:ascii="楷体" w:hAnsi="楷体" w:eastAsia="楷体" w:cs="楷体"/>
              <w:b/>
              <w:sz w:val="24"/>
              <w:szCs w:val="24"/>
            </w:rPr>
            <w:fldChar w:fldCharType="end"/>
          </w:r>
          <w:r>
            <w:rPr>
              <w:rFonts w:hint="eastAsia" w:ascii="楷体" w:hAnsi="楷体" w:eastAsia="楷体" w:cs="楷体"/>
              <w:b/>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"_Toc19341" </w:instrText>
          </w:r>
          <w:r>
            <w:fldChar w:fldCharType="separate"/>
          </w:r>
          <w:r>
            <w:rPr>
              <w:rFonts w:hint="eastAsia" w:ascii="楷体" w:hAnsi="楷体" w:eastAsia="楷体" w:cs="楷体"/>
              <w:sz w:val="24"/>
              <w:szCs w:val="24"/>
            </w:rPr>
            <w:t>附件1</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_Toc19341 </w:instrText>
          </w:r>
          <w:r>
            <w:rPr>
              <w:rFonts w:hint="eastAsia" w:ascii="楷体" w:hAnsi="楷体" w:eastAsia="楷体" w:cs="楷体"/>
              <w:sz w:val="24"/>
              <w:szCs w:val="24"/>
            </w:rPr>
            <w:fldChar w:fldCharType="separate"/>
          </w:r>
          <w:r>
            <w:rPr>
              <w:rFonts w:hint="eastAsia" w:ascii="楷体" w:hAnsi="楷体" w:eastAsia="楷体" w:cs="楷体"/>
              <w:sz w:val="24"/>
              <w:szCs w:val="24"/>
            </w:rPr>
            <w:t>30</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0"/>
            <w:tabs>
              <w:tab w:val="right" w:leader="dot" w:pos="8306"/>
            </w:tabs>
            <w:rPr>
              <w:rFonts w:ascii="楷体" w:hAnsi="楷体" w:eastAsia="楷体" w:cs="楷体"/>
              <w:b/>
              <w:sz w:val="24"/>
              <w:szCs w:val="24"/>
            </w:rPr>
          </w:pPr>
          <w:r>
            <w:fldChar w:fldCharType="begin"/>
          </w:r>
          <w:r>
            <w:instrText xml:space="preserve"> HYPERLINK \l "_Toc16564" </w:instrText>
          </w:r>
          <w:r>
            <w:fldChar w:fldCharType="separate"/>
          </w:r>
          <w:r>
            <w:rPr>
              <w:rFonts w:hint="eastAsia" w:ascii="楷体" w:hAnsi="楷体" w:eastAsia="楷体" w:cs="楷体"/>
              <w:b/>
              <w:sz w:val="24"/>
              <w:szCs w:val="24"/>
            </w:rPr>
            <w:t>第五部分 附表</w:t>
          </w:r>
          <w:r>
            <w:rPr>
              <w:rFonts w:hint="eastAsia" w:ascii="楷体" w:hAnsi="楷体" w:eastAsia="楷体" w:cs="楷体"/>
              <w:b/>
              <w:sz w:val="24"/>
              <w:szCs w:val="24"/>
            </w:rPr>
            <w:tab/>
          </w:r>
          <w:r>
            <w:rPr>
              <w:rFonts w:hint="eastAsia" w:ascii="楷体" w:hAnsi="楷体" w:eastAsia="楷体" w:cs="楷体"/>
              <w:b/>
              <w:sz w:val="24"/>
              <w:szCs w:val="24"/>
            </w:rPr>
            <w:fldChar w:fldCharType="begin"/>
          </w:r>
          <w:r>
            <w:rPr>
              <w:rFonts w:hint="eastAsia" w:ascii="楷体" w:hAnsi="楷体" w:eastAsia="楷体" w:cs="楷体"/>
              <w:b/>
              <w:sz w:val="24"/>
              <w:szCs w:val="24"/>
            </w:rPr>
            <w:instrText xml:space="preserve"> PAGEREF _Toc16564 </w:instrText>
          </w:r>
          <w:r>
            <w:rPr>
              <w:rFonts w:hint="eastAsia" w:ascii="楷体" w:hAnsi="楷体" w:eastAsia="楷体" w:cs="楷体"/>
              <w:b/>
              <w:sz w:val="24"/>
              <w:szCs w:val="24"/>
            </w:rPr>
            <w:fldChar w:fldCharType="separate"/>
          </w:r>
          <w:r>
            <w:rPr>
              <w:rFonts w:hint="eastAsia" w:ascii="楷体" w:hAnsi="楷体" w:eastAsia="楷体" w:cs="楷体"/>
              <w:b/>
              <w:sz w:val="24"/>
              <w:szCs w:val="24"/>
            </w:rPr>
            <w:t>34</w:t>
          </w:r>
          <w:r>
            <w:rPr>
              <w:rFonts w:hint="eastAsia" w:ascii="楷体" w:hAnsi="楷体" w:eastAsia="楷体" w:cs="楷体"/>
              <w:b/>
              <w:sz w:val="24"/>
              <w:szCs w:val="24"/>
            </w:rPr>
            <w:fldChar w:fldCharType="end"/>
          </w:r>
          <w:r>
            <w:rPr>
              <w:rFonts w:hint="eastAsia" w:ascii="楷体" w:hAnsi="楷体" w:eastAsia="楷体" w:cs="楷体"/>
              <w:b/>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"_Toc19203" </w:instrText>
          </w:r>
          <w:r>
            <w:fldChar w:fldCharType="separate"/>
          </w:r>
          <w:r>
            <w:rPr>
              <w:rFonts w:hint="eastAsia" w:ascii="楷体" w:hAnsi="楷体" w:eastAsia="楷体" w:cs="楷体"/>
              <w:sz w:val="24"/>
              <w:szCs w:val="24"/>
            </w:rPr>
            <w:t>一、收入支出决算总表</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_Toc19203 </w:instrText>
          </w:r>
          <w:r>
            <w:rPr>
              <w:rFonts w:hint="eastAsia" w:ascii="楷体" w:hAnsi="楷体" w:eastAsia="楷体" w:cs="楷体"/>
              <w:sz w:val="24"/>
              <w:szCs w:val="24"/>
            </w:rPr>
            <w:fldChar w:fldCharType="separate"/>
          </w:r>
          <w:r>
            <w:rPr>
              <w:rFonts w:hint="eastAsia" w:ascii="楷体" w:hAnsi="楷体" w:eastAsia="楷体" w:cs="楷体"/>
              <w:sz w:val="24"/>
              <w:szCs w:val="24"/>
            </w:rPr>
            <w:t>34</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"_Toc14397" </w:instrText>
          </w:r>
          <w:r>
            <w:fldChar w:fldCharType="separate"/>
          </w:r>
          <w:r>
            <w:rPr>
              <w:rFonts w:hint="eastAsia" w:ascii="楷体" w:hAnsi="楷体" w:eastAsia="楷体" w:cs="楷体"/>
              <w:sz w:val="24"/>
              <w:szCs w:val="24"/>
            </w:rPr>
            <w:t>二、收入决算表</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_Toc14397 </w:instrText>
          </w:r>
          <w:r>
            <w:rPr>
              <w:rFonts w:hint="eastAsia" w:ascii="楷体" w:hAnsi="楷体" w:eastAsia="楷体" w:cs="楷体"/>
              <w:sz w:val="24"/>
              <w:szCs w:val="24"/>
            </w:rPr>
            <w:fldChar w:fldCharType="separate"/>
          </w:r>
          <w:r>
            <w:rPr>
              <w:rFonts w:hint="eastAsia" w:ascii="楷体" w:hAnsi="楷体" w:eastAsia="楷体" w:cs="楷体"/>
              <w:sz w:val="24"/>
              <w:szCs w:val="24"/>
            </w:rPr>
            <w:t>34</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"_Toc12241" </w:instrText>
          </w:r>
          <w:r>
            <w:fldChar w:fldCharType="separate"/>
          </w:r>
          <w:r>
            <w:rPr>
              <w:rFonts w:hint="eastAsia" w:ascii="楷体" w:hAnsi="楷体" w:eastAsia="楷体" w:cs="楷体"/>
              <w:sz w:val="24"/>
              <w:szCs w:val="24"/>
            </w:rPr>
            <w:t>三、支出决算表</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_Toc12241 </w:instrText>
          </w:r>
          <w:r>
            <w:rPr>
              <w:rFonts w:hint="eastAsia" w:ascii="楷体" w:hAnsi="楷体" w:eastAsia="楷体" w:cs="楷体"/>
              <w:sz w:val="24"/>
              <w:szCs w:val="24"/>
            </w:rPr>
            <w:fldChar w:fldCharType="separate"/>
          </w:r>
          <w:r>
            <w:rPr>
              <w:rFonts w:hint="eastAsia" w:ascii="楷体" w:hAnsi="楷体" w:eastAsia="楷体" w:cs="楷体"/>
              <w:sz w:val="24"/>
              <w:szCs w:val="24"/>
            </w:rPr>
            <w:t>34</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"_Toc8259" </w:instrText>
          </w:r>
          <w:r>
            <w:fldChar w:fldCharType="separate"/>
          </w:r>
          <w:r>
            <w:rPr>
              <w:rFonts w:hint="eastAsia" w:ascii="楷体" w:hAnsi="楷体" w:eastAsia="楷体" w:cs="楷体"/>
              <w:sz w:val="24"/>
              <w:szCs w:val="24"/>
            </w:rPr>
            <w:t>四、财政拨款收入支出决算总表</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_Toc8259 </w:instrText>
          </w:r>
          <w:r>
            <w:rPr>
              <w:rFonts w:hint="eastAsia" w:ascii="楷体" w:hAnsi="楷体" w:eastAsia="楷体" w:cs="楷体"/>
              <w:sz w:val="24"/>
              <w:szCs w:val="24"/>
            </w:rPr>
            <w:fldChar w:fldCharType="separate"/>
          </w:r>
          <w:r>
            <w:rPr>
              <w:rFonts w:hint="eastAsia" w:ascii="楷体" w:hAnsi="楷体" w:eastAsia="楷体" w:cs="楷体"/>
              <w:sz w:val="24"/>
              <w:szCs w:val="24"/>
            </w:rPr>
            <w:t>34</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"_Toc19088" </w:instrText>
          </w:r>
          <w:r>
            <w:fldChar w:fldCharType="separate"/>
          </w:r>
          <w:r>
            <w:rPr>
              <w:rFonts w:hint="eastAsia" w:ascii="楷体" w:hAnsi="楷体" w:eastAsia="楷体" w:cs="楷体"/>
              <w:sz w:val="24"/>
              <w:szCs w:val="24"/>
            </w:rPr>
            <w:t>五、财政拨款支出决算明细表</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_Toc19088 </w:instrText>
          </w:r>
          <w:r>
            <w:rPr>
              <w:rFonts w:hint="eastAsia" w:ascii="楷体" w:hAnsi="楷体" w:eastAsia="楷体" w:cs="楷体"/>
              <w:sz w:val="24"/>
              <w:szCs w:val="24"/>
            </w:rPr>
            <w:fldChar w:fldCharType="separate"/>
          </w:r>
          <w:r>
            <w:rPr>
              <w:rFonts w:hint="eastAsia" w:ascii="楷体" w:hAnsi="楷体" w:eastAsia="楷体" w:cs="楷体"/>
              <w:sz w:val="24"/>
              <w:szCs w:val="24"/>
            </w:rPr>
            <w:t>34</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"_Toc5420" </w:instrText>
          </w:r>
          <w:r>
            <w:fldChar w:fldCharType="separate"/>
          </w:r>
          <w:r>
            <w:rPr>
              <w:rFonts w:hint="eastAsia" w:ascii="楷体" w:hAnsi="楷体" w:eastAsia="楷体" w:cs="楷体"/>
              <w:sz w:val="24"/>
              <w:szCs w:val="24"/>
            </w:rPr>
            <w:t>六、一般公共预算财政拨款支出决算表</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_Toc5420 </w:instrText>
          </w:r>
          <w:r>
            <w:rPr>
              <w:rFonts w:hint="eastAsia" w:ascii="楷体" w:hAnsi="楷体" w:eastAsia="楷体" w:cs="楷体"/>
              <w:sz w:val="24"/>
              <w:szCs w:val="24"/>
            </w:rPr>
            <w:fldChar w:fldCharType="separate"/>
          </w:r>
          <w:r>
            <w:rPr>
              <w:rFonts w:hint="eastAsia" w:ascii="楷体" w:hAnsi="楷体" w:eastAsia="楷体" w:cs="楷体"/>
              <w:sz w:val="24"/>
              <w:szCs w:val="24"/>
            </w:rPr>
            <w:t>34</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"_Toc25470" </w:instrText>
          </w:r>
          <w:r>
            <w:fldChar w:fldCharType="separate"/>
          </w:r>
          <w:r>
            <w:rPr>
              <w:rFonts w:hint="eastAsia" w:ascii="楷体" w:hAnsi="楷体" w:eastAsia="楷体" w:cs="楷体"/>
              <w:sz w:val="24"/>
              <w:szCs w:val="24"/>
            </w:rPr>
            <w:t>七、一般公共预算财政拨款支出决算明细表</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_Toc25470 </w:instrText>
          </w:r>
          <w:r>
            <w:rPr>
              <w:rFonts w:hint="eastAsia" w:ascii="楷体" w:hAnsi="楷体" w:eastAsia="楷体" w:cs="楷体"/>
              <w:sz w:val="24"/>
              <w:szCs w:val="24"/>
            </w:rPr>
            <w:fldChar w:fldCharType="separate"/>
          </w:r>
          <w:r>
            <w:rPr>
              <w:rFonts w:hint="eastAsia" w:ascii="楷体" w:hAnsi="楷体" w:eastAsia="楷体" w:cs="楷体"/>
              <w:sz w:val="24"/>
              <w:szCs w:val="24"/>
            </w:rPr>
            <w:t>34</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"_Toc3587" </w:instrText>
          </w:r>
          <w:r>
            <w:fldChar w:fldCharType="separate"/>
          </w:r>
          <w:r>
            <w:rPr>
              <w:rFonts w:hint="eastAsia" w:ascii="楷体" w:hAnsi="楷体" w:eastAsia="楷体" w:cs="楷体"/>
              <w:sz w:val="24"/>
              <w:szCs w:val="24"/>
            </w:rPr>
            <w:t>八、一般公共预算财政拨款基本支出决算表</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_Toc3587 </w:instrText>
          </w:r>
          <w:r>
            <w:rPr>
              <w:rFonts w:hint="eastAsia" w:ascii="楷体" w:hAnsi="楷体" w:eastAsia="楷体" w:cs="楷体"/>
              <w:sz w:val="24"/>
              <w:szCs w:val="24"/>
            </w:rPr>
            <w:fldChar w:fldCharType="separate"/>
          </w:r>
          <w:r>
            <w:rPr>
              <w:rFonts w:hint="eastAsia" w:ascii="楷体" w:hAnsi="楷体" w:eastAsia="楷体" w:cs="楷体"/>
              <w:sz w:val="24"/>
              <w:szCs w:val="24"/>
            </w:rPr>
            <w:t>34</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"_Toc11828" </w:instrText>
          </w:r>
          <w:r>
            <w:fldChar w:fldCharType="separate"/>
          </w:r>
          <w:r>
            <w:rPr>
              <w:rFonts w:hint="eastAsia" w:ascii="楷体" w:hAnsi="楷体" w:eastAsia="楷体" w:cs="楷体"/>
              <w:sz w:val="24"/>
              <w:szCs w:val="24"/>
            </w:rPr>
            <w:t>九、一般公共预算财政拨款项目支出决算表</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_Toc11828 </w:instrText>
          </w:r>
          <w:r>
            <w:rPr>
              <w:rFonts w:hint="eastAsia" w:ascii="楷体" w:hAnsi="楷体" w:eastAsia="楷体" w:cs="楷体"/>
              <w:sz w:val="24"/>
              <w:szCs w:val="24"/>
            </w:rPr>
            <w:fldChar w:fldCharType="separate"/>
          </w:r>
          <w:r>
            <w:rPr>
              <w:rFonts w:hint="eastAsia" w:ascii="楷体" w:hAnsi="楷体" w:eastAsia="楷体" w:cs="楷体"/>
              <w:sz w:val="24"/>
              <w:szCs w:val="24"/>
            </w:rPr>
            <w:t>34</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"_Toc3534" </w:instrText>
          </w:r>
          <w:r>
            <w:fldChar w:fldCharType="separate"/>
          </w:r>
          <w:r>
            <w:rPr>
              <w:rFonts w:hint="eastAsia" w:ascii="楷体" w:hAnsi="楷体" w:eastAsia="楷体" w:cs="楷体"/>
              <w:sz w:val="24"/>
              <w:szCs w:val="24"/>
            </w:rPr>
            <w:t>十、一般公共预算财政拨款“三公”经费支出决算表</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_Toc3534 </w:instrText>
          </w:r>
          <w:r>
            <w:rPr>
              <w:rFonts w:hint="eastAsia" w:ascii="楷体" w:hAnsi="楷体" w:eastAsia="楷体" w:cs="楷体"/>
              <w:sz w:val="24"/>
              <w:szCs w:val="24"/>
            </w:rPr>
            <w:fldChar w:fldCharType="separate"/>
          </w:r>
          <w:r>
            <w:rPr>
              <w:rFonts w:hint="eastAsia" w:ascii="楷体" w:hAnsi="楷体" w:eastAsia="楷体" w:cs="楷体"/>
              <w:sz w:val="24"/>
              <w:szCs w:val="24"/>
            </w:rPr>
            <w:t>34</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"_Toc4139" </w:instrText>
          </w:r>
          <w:r>
            <w:fldChar w:fldCharType="separate"/>
          </w:r>
          <w:r>
            <w:rPr>
              <w:rFonts w:hint="eastAsia" w:ascii="楷体" w:hAnsi="楷体" w:eastAsia="楷体" w:cs="楷体"/>
              <w:sz w:val="24"/>
              <w:szCs w:val="24"/>
            </w:rPr>
            <w:t>十一、政府性基金预算财政拨款收入支出决算表</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_Toc4139 </w:instrText>
          </w:r>
          <w:r>
            <w:rPr>
              <w:rFonts w:hint="eastAsia" w:ascii="楷体" w:hAnsi="楷体" w:eastAsia="楷体" w:cs="楷体"/>
              <w:sz w:val="24"/>
              <w:szCs w:val="24"/>
            </w:rPr>
            <w:fldChar w:fldCharType="separate"/>
          </w:r>
          <w:r>
            <w:rPr>
              <w:rFonts w:hint="eastAsia" w:ascii="楷体" w:hAnsi="楷体" w:eastAsia="楷体" w:cs="楷体"/>
              <w:sz w:val="24"/>
              <w:szCs w:val="24"/>
            </w:rPr>
            <w:t>34</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"_Toc16520" </w:instrText>
          </w:r>
          <w:r>
            <w:fldChar w:fldCharType="separate"/>
          </w:r>
          <w:r>
            <w:rPr>
              <w:rFonts w:hint="eastAsia" w:ascii="楷体" w:hAnsi="楷体" w:eastAsia="楷体" w:cs="楷体"/>
              <w:sz w:val="24"/>
              <w:szCs w:val="24"/>
            </w:rPr>
            <w:t>十二、政府性基金预算财政拨款“三公”经费支出决算表</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_Toc16520 </w:instrText>
          </w:r>
          <w:r>
            <w:rPr>
              <w:rFonts w:hint="eastAsia" w:ascii="楷体" w:hAnsi="楷体" w:eastAsia="楷体" w:cs="楷体"/>
              <w:sz w:val="24"/>
              <w:szCs w:val="24"/>
            </w:rPr>
            <w:fldChar w:fldCharType="separate"/>
          </w:r>
          <w:r>
            <w:rPr>
              <w:rFonts w:hint="eastAsia" w:ascii="楷体" w:hAnsi="楷体" w:eastAsia="楷体" w:cs="楷体"/>
              <w:sz w:val="24"/>
              <w:szCs w:val="24"/>
            </w:rPr>
            <w:t>34</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31"/>
            <w:tabs>
              <w:tab w:val="right" w:leader="dot" w:pos="8306"/>
            </w:tabs>
            <w:ind w:left="420"/>
            <w:rPr>
              <w:rFonts w:ascii="楷体" w:hAnsi="楷体" w:eastAsia="楷体" w:cs="楷体"/>
              <w:sz w:val="24"/>
              <w:szCs w:val="24"/>
            </w:rPr>
          </w:pPr>
          <w:r>
            <w:fldChar w:fldCharType="begin"/>
          </w:r>
          <w:r>
            <w:instrText xml:space="preserve"> HYPERLINK \l "_Toc30794" </w:instrText>
          </w:r>
          <w:r>
            <w:fldChar w:fldCharType="separate"/>
          </w:r>
          <w:r>
            <w:rPr>
              <w:rFonts w:hint="eastAsia" w:ascii="楷体" w:hAnsi="楷体" w:eastAsia="楷体" w:cs="楷体"/>
              <w:sz w:val="24"/>
              <w:szCs w:val="24"/>
            </w:rPr>
            <w:t>十三、国有资本经营预算支出决算表</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_Toc30794 </w:instrText>
          </w:r>
          <w:r>
            <w:rPr>
              <w:rFonts w:hint="eastAsia" w:ascii="楷体" w:hAnsi="楷体" w:eastAsia="楷体" w:cs="楷体"/>
              <w:sz w:val="24"/>
              <w:szCs w:val="24"/>
            </w:rPr>
            <w:fldChar w:fldCharType="separate"/>
          </w:r>
          <w:r>
            <w:rPr>
              <w:rFonts w:hint="eastAsia" w:ascii="楷体" w:hAnsi="楷体" w:eastAsia="楷体" w:cs="楷体"/>
              <w:sz w:val="24"/>
              <w:szCs w:val="24"/>
            </w:rPr>
            <w:t>34</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rPr>
              <w:rFonts w:ascii="楷体" w:hAnsi="楷体" w:eastAsia="楷体" w:cs="楷体"/>
              <w:sz w:val="24"/>
            </w:rPr>
          </w:pPr>
          <w:r>
            <w:rPr>
              <w:rFonts w:hint="eastAsia" w:ascii="楷体" w:hAnsi="楷体" w:eastAsia="楷体" w:cs="楷体"/>
              <w:b/>
              <w:sz w:val="24"/>
            </w:rPr>
            <w:fldChar w:fldCharType="end"/>
          </w:r>
        </w:p>
      </w:sdtContent>
    </w:sdt>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2"/>
        <w:jc w:val="center"/>
        <w:rPr>
          <w:rStyle w:val="24"/>
          <w:rFonts w:ascii="黑体" w:hAnsi="黑体" w:eastAsia="黑体"/>
          <w:b/>
          <w:bCs w:val="0"/>
        </w:rPr>
      </w:pPr>
      <w:bookmarkStart w:id="16" w:name="_Toc21941"/>
      <w:r>
        <w:rPr>
          <w:rFonts w:hint="eastAsia" w:ascii="黑体" w:hAnsi="黑体" w:eastAsia="黑体"/>
          <w:b w:val="0"/>
        </w:rPr>
        <w:t xml:space="preserve">第一部分 </w:t>
      </w:r>
      <w:r>
        <w:rPr>
          <w:rStyle w:val="24"/>
          <w:rFonts w:hint="eastAsia" w:ascii="黑体" w:hAnsi="黑体" w:eastAsia="黑体"/>
          <w:b w:val="0"/>
          <w:bCs w:val="0"/>
        </w:rPr>
        <w:t>部门概况</w:t>
      </w:r>
      <w:bookmarkEnd w:id="14"/>
      <w:bookmarkEnd w:id="15"/>
      <w:bookmarkEnd w:id="16"/>
    </w:p>
    <w:p>
      <w:pPr>
        <w:widowControl/>
        <w:jc w:val="left"/>
        <w:rPr>
          <w:rFonts w:ascii="黑体" w:eastAsia="黑体"/>
          <w:color w:val="000000"/>
          <w:sz w:val="32"/>
          <w:szCs w:val="32"/>
        </w:rPr>
      </w:pPr>
    </w:p>
    <w:p>
      <w:pPr>
        <w:pStyle w:val="3"/>
        <w:rPr>
          <w:rStyle w:val="25"/>
          <w:rFonts w:ascii="仿宋" w:hAnsi="仿宋" w:eastAsia="仿宋"/>
          <w:b w:val="0"/>
          <w:bCs w:val="0"/>
        </w:rPr>
      </w:pPr>
      <w:bookmarkStart w:id="17" w:name="_Toc15396600"/>
      <w:bookmarkStart w:id="18" w:name="_Toc12416"/>
      <w:bookmarkStart w:id="19"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7"/>
      <w:bookmarkEnd w:id="18"/>
      <w:bookmarkEnd w:id="19"/>
    </w:p>
    <w:p>
      <w:pPr>
        <w:pStyle w:val="5"/>
        <w:adjustRightInd w:val="0"/>
        <w:snapToGrid w:val="0"/>
        <w:spacing w:before="93" w:line="600" w:lineRule="exact"/>
        <w:ind w:firstLine="640" w:firstLineChars="200"/>
        <w:outlineLvl w:val="2"/>
        <w:rPr>
          <w:rFonts w:ascii="仿宋" w:hAnsi="仿宋" w:eastAsia="仿宋"/>
          <w:bCs/>
          <w:color w:val="000000"/>
          <w:sz w:val="32"/>
          <w:szCs w:val="32"/>
        </w:rPr>
      </w:pPr>
      <w:bookmarkStart w:id="20" w:name="_Toc15378445"/>
      <w:bookmarkStart w:id="21" w:name="_Toc15377198"/>
      <w:r>
        <w:rPr>
          <w:rFonts w:hint="eastAsia" w:ascii="仿宋" w:hAnsi="仿宋" w:eastAsia="仿宋"/>
          <w:bCs/>
          <w:color w:val="000000"/>
          <w:sz w:val="32"/>
          <w:szCs w:val="32"/>
        </w:rPr>
        <w:t>（一）主要职能。</w:t>
      </w:r>
      <w:bookmarkEnd w:id="20"/>
      <w:bookmarkEnd w:id="21"/>
      <w:bookmarkStart w:id="22" w:name="_Toc15378446"/>
      <w:bookmarkStart w:id="23" w:name="_Toc15377199"/>
    </w:p>
    <w:p>
      <w:pPr>
        <w:widowControl/>
        <w:spacing w:line="640" w:lineRule="exact"/>
        <w:ind w:firstLine="640" w:firstLineChars="200"/>
        <w:jc w:val="left"/>
        <w:rPr>
          <w:rFonts w:ascii="仿宋_GB2312" w:hAnsi="仿宋" w:eastAsia="仿宋_GB2312" w:cs="仿宋"/>
          <w:sz w:val="32"/>
          <w:szCs w:val="32"/>
          <w:lang w:val="zh-CN"/>
        </w:rPr>
      </w:pPr>
      <w:r>
        <w:rPr>
          <w:rFonts w:hint="eastAsia" w:ascii="仿宋_GB2312" w:hAnsi="仿宋" w:eastAsia="仿宋_GB2312" w:cs="仿宋"/>
          <w:sz w:val="32"/>
          <w:szCs w:val="32"/>
          <w:lang w:val="zh-CN"/>
        </w:rPr>
        <w:t>本单位主要职能：</w:t>
      </w:r>
      <w:r>
        <w:rPr>
          <w:rFonts w:hint="eastAsia" w:ascii="仿宋_GB2312" w:hAnsi="仿宋" w:eastAsia="仿宋_GB2312" w:cs="仿宋"/>
          <w:sz w:val="32"/>
          <w:szCs w:val="32"/>
        </w:rPr>
        <w:t>一是认真贯彻执行国家、省、州有关生态保护的法律法规和方针政策；二是开展州内生态经济、生态补偿、生态治理和修复等方面的调查研究；三是加强省内外科研院所合作和交流，共同搭建生态保护与发展研究平台，开展生态环境保护、生态恢复、水土保持等业务咨询和人才培训等科技服务；四是申报和组织实施适合我州生态保护与发展的科研项目。</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22"/>
      <w:bookmarkEnd w:id="23"/>
    </w:p>
    <w:p>
      <w:pPr>
        <w:spacing w:line="640" w:lineRule="exact"/>
        <w:ind w:firstLine="475" w:firstLineChars="148"/>
        <w:rPr>
          <w:rFonts w:ascii="仿宋_GB2312" w:hAnsi="黑体" w:eastAsia="仿宋_GB2312" w:cs="方正黑体_GBK"/>
          <w:b/>
          <w:sz w:val="32"/>
          <w:szCs w:val="32"/>
        </w:rPr>
      </w:pPr>
      <w:bookmarkStart w:id="24" w:name="_Toc30118"/>
      <w:bookmarkStart w:id="25" w:name="_Toc15377200"/>
      <w:bookmarkStart w:id="26" w:name="_Toc15396601"/>
      <w:r>
        <w:rPr>
          <w:rFonts w:hint="eastAsia" w:ascii="仿宋_GB2312" w:hAnsi="黑体" w:eastAsia="仿宋_GB2312" w:cs="黑体"/>
          <w:b/>
          <w:sz w:val="32"/>
          <w:szCs w:val="32"/>
        </w:rPr>
        <w:t>1.积极推进科研项目实施</w:t>
      </w:r>
    </w:p>
    <w:p>
      <w:pPr>
        <w:widowControl/>
        <w:spacing w:line="640" w:lineRule="exact"/>
        <w:ind w:firstLine="643" w:firstLineChars="200"/>
        <w:jc w:val="left"/>
        <w:rPr>
          <w:rFonts w:ascii="仿宋_GB2312" w:hAnsi="仿宋" w:eastAsia="仿宋_GB2312" w:cs="仿宋_GB2312"/>
          <w:sz w:val="32"/>
          <w:szCs w:val="32"/>
        </w:rPr>
      </w:pPr>
      <w:r>
        <w:rPr>
          <w:rFonts w:hint="eastAsia" w:ascii="仿宋_GB2312" w:hAnsi="黑体" w:eastAsia="仿宋_GB2312" w:cs="仿宋_GB2312"/>
          <w:b/>
          <w:bCs/>
          <w:sz w:val="32"/>
          <w:szCs w:val="32"/>
        </w:rPr>
        <w:t>（1）、阿坝州岷江上游水生态修复研究。</w:t>
      </w:r>
      <w:r>
        <w:rPr>
          <w:rFonts w:hint="eastAsia" w:ascii="仿宋_GB2312" w:hAnsi="仿宋" w:eastAsia="仿宋_GB2312" w:cs="仿宋"/>
          <w:sz w:val="32"/>
          <w:szCs w:val="32"/>
        </w:rPr>
        <w:t>组织人员深入松潘、茂县、理县等县进行实地调研，开展资料查阅收集、会议座谈、实施</w:t>
      </w:r>
      <w:r>
        <w:rPr>
          <w:rFonts w:hint="eastAsia" w:ascii="仿宋_GB2312" w:hAnsi="仿宋" w:eastAsia="仿宋_GB2312" w:cs="Sun-ExtA"/>
          <w:kern w:val="0"/>
          <w:sz w:val="32"/>
          <w:szCs w:val="32"/>
        </w:rPr>
        <w:t>岷江上游水生</w:t>
      </w:r>
      <w:r>
        <w:rPr>
          <w:rFonts w:hint="eastAsia" w:ascii="仿宋_GB2312" w:hAnsi="仿宋" w:eastAsia="仿宋_GB2312" w:cs="宋体"/>
          <w:kern w:val="0"/>
          <w:sz w:val="32"/>
          <w:szCs w:val="32"/>
        </w:rPr>
        <w:t>态</w:t>
      </w:r>
      <w:r>
        <w:rPr>
          <w:rFonts w:hint="eastAsia" w:ascii="仿宋_GB2312" w:hAnsi="仿宋" w:eastAsia="仿宋_GB2312" w:cs="Sun-ExtA"/>
          <w:kern w:val="0"/>
          <w:sz w:val="32"/>
          <w:szCs w:val="32"/>
        </w:rPr>
        <w:t>修</w:t>
      </w:r>
      <w:r>
        <w:rPr>
          <w:rFonts w:hint="eastAsia" w:ascii="仿宋_GB2312" w:hAnsi="仿宋" w:eastAsia="仿宋_GB2312" w:cs="宋体"/>
          <w:kern w:val="0"/>
          <w:sz w:val="32"/>
          <w:szCs w:val="32"/>
        </w:rPr>
        <w:t>复</w:t>
      </w:r>
      <w:r>
        <w:rPr>
          <w:rFonts w:hint="eastAsia" w:ascii="仿宋_GB2312" w:hAnsi="仿宋" w:eastAsia="仿宋_GB2312" w:cs="Sun-ExtA"/>
          <w:kern w:val="0"/>
          <w:sz w:val="32"/>
          <w:szCs w:val="32"/>
        </w:rPr>
        <w:t>模式、河流生</w:t>
      </w:r>
      <w:r>
        <w:rPr>
          <w:rFonts w:hint="eastAsia" w:ascii="仿宋_GB2312" w:hAnsi="仿宋" w:eastAsia="仿宋_GB2312" w:cs="宋体"/>
          <w:kern w:val="0"/>
          <w:sz w:val="32"/>
          <w:szCs w:val="32"/>
        </w:rPr>
        <w:t>态</w:t>
      </w:r>
      <w:r>
        <w:rPr>
          <w:rFonts w:hint="eastAsia" w:ascii="仿宋_GB2312" w:hAnsi="仿宋" w:eastAsia="仿宋_GB2312" w:cs="Sun-ExtA"/>
          <w:kern w:val="0"/>
          <w:sz w:val="32"/>
          <w:szCs w:val="32"/>
        </w:rPr>
        <w:t>修</w:t>
      </w:r>
      <w:r>
        <w:rPr>
          <w:rFonts w:hint="eastAsia" w:ascii="仿宋_GB2312" w:hAnsi="仿宋" w:eastAsia="仿宋_GB2312" w:cs="宋体"/>
          <w:kern w:val="0"/>
          <w:sz w:val="32"/>
          <w:szCs w:val="32"/>
        </w:rPr>
        <w:t>复</w:t>
      </w:r>
      <w:r>
        <w:rPr>
          <w:rFonts w:hint="eastAsia" w:ascii="仿宋_GB2312" w:hAnsi="仿宋" w:eastAsia="仿宋_GB2312" w:cs="仿宋"/>
          <w:sz w:val="32"/>
          <w:szCs w:val="32"/>
        </w:rPr>
        <w:t>项目实地调研等工作，</w:t>
      </w:r>
      <w:r>
        <w:rPr>
          <w:rFonts w:hint="eastAsia" w:ascii="仿宋_GB2312" w:hAnsi="仿宋" w:eastAsia="仿宋_GB2312"/>
          <w:sz w:val="32"/>
          <w:szCs w:val="32"/>
        </w:rPr>
        <w:t>完成《岷江上游水生态修复工程规划》和《岷江上游水生态修复思路模式报告》的调研课题。</w:t>
      </w:r>
    </w:p>
    <w:p>
      <w:pPr>
        <w:spacing w:line="640" w:lineRule="exact"/>
        <w:ind w:firstLine="643" w:firstLineChars="200"/>
        <w:rPr>
          <w:rFonts w:ascii="仿宋_GB2312" w:hAnsi="仿宋" w:eastAsia="仿宋_GB2312" w:cs="仿宋"/>
          <w:bCs/>
          <w:kern w:val="0"/>
          <w:sz w:val="32"/>
          <w:szCs w:val="32"/>
        </w:rPr>
      </w:pPr>
      <w:r>
        <w:rPr>
          <w:rFonts w:hint="eastAsia" w:ascii="仿宋_GB2312" w:hAnsi="黑体" w:eastAsia="仿宋_GB2312" w:cs="仿宋_GB2312"/>
          <w:b/>
          <w:bCs/>
          <w:sz w:val="32"/>
          <w:szCs w:val="32"/>
        </w:rPr>
        <w:t>（2）、阿坝州农牧民实用技术培训及推广。</w:t>
      </w:r>
      <w:r>
        <w:rPr>
          <w:rFonts w:hint="eastAsia" w:ascii="仿宋_GB2312" w:hAnsi="仿宋" w:eastAsia="仿宋_GB2312" w:cs="仿宋_GB2312"/>
          <w:sz w:val="32"/>
          <w:szCs w:val="32"/>
        </w:rPr>
        <w:t>深入</w:t>
      </w:r>
      <w:r>
        <w:rPr>
          <w:rFonts w:hint="eastAsia" w:ascii="仿宋_GB2312" w:hAnsi="仿宋" w:eastAsia="仿宋_GB2312" w:cs="仿宋"/>
          <w:sz w:val="32"/>
          <w:szCs w:val="32"/>
        </w:rPr>
        <w:t>全州13县（市）的科技局和科技和农业畜牧水务局实地开展调研，形成《阿坝州农村实用技术培训助力脱贫致富的实践与探索》调研报告。根据农牧民的实际需求，</w:t>
      </w:r>
      <w:r>
        <w:rPr>
          <w:rFonts w:hint="eastAsia" w:ascii="仿宋_GB2312" w:hAnsi="仿宋" w:eastAsia="仿宋_GB2312" w:cs="仿宋"/>
          <w:bCs/>
          <w:kern w:val="0"/>
          <w:sz w:val="32"/>
          <w:szCs w:val="32"/>
        </w:rPr>
        <w:t>分别在茂县、九寨沟县举办了</w:t>
      </w:r>
      <w:r>
        <w:rPr>
          <w:rFonts w:hint="eastAsia" w:ascii="仿宋_GB2312" w:hAnsi="仿宋" w:eastAsia="仿宋_GB2312" w:cs="仿宋"/>
          <w:sz w:val="32"/>
          <w:szCs w:val="32"/>
        </w:rPr>
        <w:t>阿坝州特色农业实用技术科技培训</w:t>
      </w:r>
      <w:r>
        <w:rPr>
          <w:rFonts w:hint="eastAsia" w:ascii="仿宋_GB2312" w:hAnsi="仿宋" w:eastAsia="仿宋_GB2312" w:cs="仿宋"/>
          <w:bCs/>
          <w:kern w:val="0"/>
          <w:sz w:val="32"/>
          <w:szCs w:val="32"/>
        </w:rPr>
        <w:t>班（室内）2期、现场培训10期，共计培训</w:t>
      </w:r>
      <w:r>
        <w:rPr>
          <w:rFonts w:hint="eastAsia" w:ascii="仿宋_GB2312" w:hAnsi="仿宋" w:eastAsia="仿宋_GB2312" w:cs="仿宋"/>
          <w:sz w:val="32"/>
          <w:szCs w:val="32"/>
        </w:rPr>
        <w:t>分管科技副乡（镇）长、村党组织书记和“两委”成员以及致富能手等</w:t>
      </w:r>
      <w:r>
        <w:rPr>
          <w:rFonts w:hint="eastAsia" w:ascii="仿宋_GB2312" w:hAnsi="仿宋" w:eastAsia="仿宋_GB2312" w:cs="仿宋"/>
          <w:bCs/>
          <w:kern w:val="0"/>
          <w:sz w:val="32"/>
          <w:szCs w:val="32"/>
        </w:rPr>
        <w:t>约400余人，深得当地干部群众好评，培训效果显著。该项目已于2019年11月5日顺利通过阿坝州科技局的验收。</w:t>
      </w:r>
    </w:p>
    <w:p>
      <w:pPr>
        <w:spacing w:line="640" w:lineRule="exact"/>
        <w:ind w:firstLine="643" w:firstLineChars="200"/>
        <w:rPr>
          <w:rFonts w:ascii="仿宋_GB2312" w:hAnsi="仿宋" w:eastAsia="仿宋_GB2312" w:cs="仿宋_GB2312"/>
          <w:sz w:val="32"/>
          <w:szCs w:val="32"/>
        </w:rPr>
      </w:pPr>
      <w:r>
        <w:rPr>
          <w:rFonts w:hint="eastAsia" w:ascii="仿宋_GB2312" w:hAnsi="黑体" w:eastAsia="仿宋_GB2312" w:cs="仿宋_GB2312"/>
          <w:b/>
          <w:bCs/>
          <w:sz w:val="32"/>
          <w:szCs w:val="32"/>
        </w:rPr>
        <w:t>（3）、阿坝州科技条件能力建设项目。</w:t>
      </w:r>
      <w:r>
        <w:rPr>
          <w:rFonts w:hint="eastAsia" w:ascii="仿宋_GB2312" w:hAnsi="仿宋" w:eastAsia="仿宋_GB2312" w:cs="仿宋_GB2312"/>
          <w:sz w:val="32"/>
          <w:szCs w:val="32"/>
        </w:rPr>
        <w:t>该项目已于2019年5月15日通过州科学技术局验收。</w:t>
      </w:r>
    </w:p>
    <w:p>
      <w:pPr>
        <w:spacing w:line="640" w:lineRule="exact"/>
        <w:ind w:firstLine="643" w:firstLineChars="200"/>
        <w:rPr>
          <w:rFonts w:ascii="仿宋_GB2312" w:hAnsi="仿宋" w:eastAsia="仿宋_GB2312" w:cs="仿宋"/>
          <w:bCs/>
          <w:sz w:val="32"/>
          <w:szCs w:val="32"/>
        </w:rPr>
      </w:pPr>
      <w:r>
        <w:rPr>
          <w:rFonts w:hint="eastAsia" w:ascii="仿宋_GB2312" w:hAnsi="黑体" w:eastAsia="仿宋_GB2312" w:cs="仿宋_GB2312"/>
          <w:b/>
          <w:bCs/>
          <w:sz w:val="32"/>
          <w:szCs w:val="32"/>
        </w:rPr>
        <w:t>（4）、</w:t>
      </w:r>
      <w:r>
        <w:rPr>
          <w:rFonts w:hint="eastAsia" w:ascii="仿宋_GB2312" w:hAnsi="黑体" w:eastAsia="仿宋_GB2312" w:cs="仿宋"/>
          <w:b/>
          <w:bCs/>
          <w:color w:val="000000"/>
          <w:sz w:val="32"/>
          <w:szCs w:val="32"/>
        </w:rPr>
        <w:t>若尔盖高寒沙地使用植物碳基营养理论进行防沙治沙技术研究与示范推广”项目</w:t>
      </w:r>
      <w:r>
        <w:rPr>
          <w:rFonts w:hint="eastAsia" w:ascii="仿宋_GB2312" w:hAnsi="黑体" w:eastAsia="仿宋_GB2312"/>
          <w:b/>
          <w:bCs/>
          <w:color w:val="000000"/>
          <w:sz w:val="32"/>
          <w:szCs w:val="32"/>
        </w:rPr>
        <w:t>。</w:t>
      </w:r>
      <w:r>
        <w:rPr>
          <w:rFonts w:hint="eastAsia" w:ascii="仿宋_GB2312" w:hAnsi="仿宋" w:eastAsia="仿宋_GB2312" w:cs="仿宋"/>
          <w:bCs/>
          <w:sz w:val="32"/>
          <w:szCs w:val="32"/>
        </w:rPr>
        <w:t>我院</w:t>
      </w:r>
      <w:r>
        <w:rPr>
          <w:rFonts w:hint="eastAsia" w:ascii="仿宋_GB2312" w:hAnsi="仿宋" w:eastAsia="仿宋_GB2312" w:cs="仿宋"/>
          <w:sz w:val="32"/>
          <w:szCs w:val="32"/>
        </w:rPr>
        <w:t>联合陕西省铜川市土壤生态技术创研中心</w:t>
      </w:r>
      <w:r>
        <w:rPr>
          <w:rFonts w:hint="eastAsia" w:ascii="仿宋_GB2312" w:hAnsi="仿宋" w:eastAsia="仿宋_GB2312" w:cs="仿宋"/>
          <w:bCs/>
          <w:sz w:val="32"/>
          <w:szCs w:val="32"/>
        </w:rPr>
        <w:t>共同申报了省级定向财力资金项目——“若尔盖高寒沙地使用植物碳基营养理论进行防沙治沙技术研究与示范推广”</w:t>
      </w:r>
      <w:r>
        <w:rPr>
          <w:rFonts w:hint="eastAsia" w:ascii="仿宋_GB2312" w:hAnsi="仿宋" w:eastAsia="仿宋_GB2312" w:cs="仿宋"/>
          <w:sz w:val="32"/>
          <w:szCs w:val="32"/>
        </w:rPr>
        <w:t>，</w:t>
      </w:r>
      <w:r>
        <w:rPr>
          <w:rFonts w:hint="eastAsia" w:ascii="仿宋_GB2312" w:hAnsi="仿宋" w:eastAsia="仿宋_GB2312" w:cs="仿宋"/>
          <w:bCs/>
          <w:sz w:val="32"/>
          <w:szCs w:val="32"/>
        </w:rPr>
        <w:t>主要开展高寒沙地使用植物碳基理论进行防沙治沙技术研究，为推进生态恢复、沙化治理探索理论依据和有效模式。实施核心示范区流动沙地面积150亩的治理工程，推广沙地面积100亩，共计250亩。其中，种植沙棘800株约25亩，施用生物质碳基土壤改良剂150kg/亩，共计13.5吨；生物质固沙剂50kg/亩，共计3吨。</w:t>
      </w:r>
    </w:p>
    <w:p>
      <w:pPr>
        <w:spacing w:line="640" w:lineRule="exact"/>
        <w:ind w:firstLine="643" w:firstLineChars="200"/>
        <w:rPr>
          <w:rFonts w:ascii="仿宋_GB2312" w:hAnsi="仿宋" w:eastAsia="仿宋_GB2312" w:cs="仿宋_GB2312"/>
          <w:sz w:val="32"/>
          <w:szCs w:val="32"/>
        </w:rPr>
      </w:pPr>
      <w:r>
        <w:rPr>
          <w:rFonts w:hint="eastAsia" w:ascii="仿宋_GB2312" w:hAnsi="黑体" w:eastAsia="仿宋_GB2312" w:cs="仿宋_GB2312"/>
          <w:b/>
          <w:bCs/>
          <w:sz w:val="32"/>
          <w:szCs w:val="32"/>
        </w:rPr>
        <w:t>（5）、</w:t>
      </w:r>
      <w:r>
        <w:rPr>
          <w:rFonts w:hint="eastAsia" w:ascii="仿宋_GB2312" w:hAnsi="黑体" w:eastAsia="仿宋_GB2312" w:cs="仿宋"/>
          <w:b/>
          <w:bCs/>
          <w:sz w:val="32"/>
          <w:szCs w:val="32"/>
        </w:rPr>
        <w:t>推进</w:t>
      </w:r>
      <w:r>
        <w:rPr>
          <w:rFonts w:hint="eastAsia" w:ascii="仿宋_GB2312" w:hAnsi="黑体" w:eastAsia="仿宋_GB2312" w:cs="仿宋_GB2312"/>
          <w:b/>
          <w:sz w:val="32"/>
          <w:szCs w:val="32"/>
        </w:rPr>
        <w:t>“基于物联网的岷江上游流域生态共建模式构建和应用研究”项目。</w:t>
      </w:r>
      <w:r>
        <w:rPr>
          <w:rFonts w:hint="eastAsia" w:ascii="仿宋_GB2312" w:hAnsi="黑体" w:eastAsia="仿宋_GB2312" w:cs="仿宋_GB2312"/>
          <w:bCs/>
          <w:sz w:val="32"/>
          <w:szCs w:val="32"/>
        </w:rPr>
        <w:t>由</w:t>
      </w:r>
      <w:r>
        <w:rPr>
          <w:rFonts w:hint="eastAsia" w:ascii="仿宋_GB2312" w:hAnsi="仿宋" w:eastAsia="仿宋_GB2312" w:cs="仿宋_GB2312"/>
          <w:sz w:val="32"/>
          <w:szCs w:val="32"/>
        </w:rPr>
        <w:t>我院与中国电建集团成都勘测设计研究院共同实施，</w:t>
      </w:r>
      <w:r>
        <w:rPr>
          <w:rFonts w:hint="eastAsia" w:ascii="仿宋_GB2312" w:hAnsi="仿宋" w:eastAsia="仿宋_GB2312" w:cs="仿宋"/>
          <w:sz w:val="32"/>
          <w:szCs w:val="32"/>
        </w:rPr>
        <w:t>以岷江上游松潘、茂县、理县、黑水、汶川县共5县为研究对象，围绕山水林田湖草系统治理和建设的统筹管理工作需要，研究提出生态共建新模式，并结合河长制信息系统建设，开发生态环保管理系统的应用系统平台、功能模块，进行示范应用，为岷江上上游地区相关管理部门提供技术支撑，推动《岷江-大渡河上游重大生态修复工程规划》实施</w:t>
      </w:r>
      <w:r>
        <w:rPr>
          <w:rFonts w:hint="eastAsia" w:ascii="仿宋_GB2312" w:hAnsi="仿宋" w:eastAsia="仿宋_GB2312" w:cs="仿宋_GB2312"/>
          <w:sz w:val="32"/>
          <w:szCs w:val="32"/>
        </w:rPr>
        <w:t>。</w:t>
      </w:r>
    </w:p>
    <w:p>
      <w:pPr>
        <w:spacing w:line="640" w:lineRule="exact"/>
        <w:ind w:firstLine="643" w:firstLineChars="200"/>
        <w:rPr>
          <w:rFonts w:ascii="仿宋_GB2312" w:eastAsia="仿宋_GB2312"/>
          <w:sz w:val="32"/>
          <w:szCs w:val="32"/>
        </w:rPr>
      </w:pPr>
      <w:r>
        <w:rPr>
          <w:rFonts w:hint="eastAsia" w:ascii="仿宋_GB2312" w:hAnsi="黑体" w:eastAsia="仿宋_GB2312" w:cs="仿宋_GB2312"/>
          <w:b/>
          <w:bCs/>
          <w:sz w:val="32"/>
          <w:szCs w:val="32"/>
        </w:rPr>
        <w:t>（6）、</w:t>
      </w:r>
      <w:r>
        <w:rPr>
          <w:rFonts w:hint="eastAsia" w:ascii="仿宋_GB2312" w:eastAsia="仿宋_GB2312"/>
          <w:b/>
          <w:sz w:val="32"/>
          <w:szCs w:val="32"/>
        </w:rPr>
        <w:t>阿坝州特色种养殖实业技术培训项目。</w:t>
      </w:r>
      <w:r>
        <w:rPr>
          <w:rFonts w:hint="eastAsia" w:ascii="仿宋_GB2312" w:eastAsia="仿宋_GB2312"/>
          <w:sz w:val="32"/>
          <w:szCs w:val="32"/>
        </w:rPr>
        <w:t>今年我院在松潘、小金、黑水、汶川县举办了共4期室内培训和6期室外培训，培训人数达到1800多人，发放培训资料300多套，共1800多册。松潘县及九寨沟县室内外培训都将在2020年4月前完成。</w:t>
      </w:r>
    </w:p>
    <w:p>
      <w:pPr>
        <w:widowControl/>
        <w:spacing w:line="640" w:lineRule="exact"/>
        <w:ind w:firstLine="482" w:firstLineChars="150"/>
        <w:jc w:val="left"/>
        <w:rPr>
          <w:rFonts w:ascii="仿宋_GB2312" w:hAnsi="黑体" w:eastAsia="仿宋_GB2312" w:cs="宋体"/>
          <w:b/>
          <w:sz w:val="32"/>
          <w:szCs w:val="32"/>
        </w:rPr>
      </w:pPr>
      <w:r>
        <w:rPr>
          <w:rFonts w:hint="eastAsia" w:ascii="仿宋_GB2312" w:hAnsi="黑体" w:eastAsia="仿宋_GB2312" w:cs="宋体"/>
          <w:b/>
          <w:sz w:val="32"/>
          <w:szCs w:val="32"/>
        </w:rPr>
        <w:t>2.扎实开展“两联一进”工作</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自2018年底启动“两联一进”工作以来，院班子成员及相关工作人员共10次深入理县蒲溪乡河坝村</w:t>
      </w:r>
      <w:r>
        <w:rPr>
          <w:rFonts w:hint="eastAsia" w:ascii="仿宋_GB2312" w:hAnsi="Calibri" w:eastAsia="仿宋_GB2312"/>
          <w:sz w:val="32"/>
          <w:szCs w:val="32"/>
        </w:rPr>
        <w:t>开展党组织结对共建帮扶活动和“联户联情”工作，</w:t>
      </w:r>
      <w:r>
        <w:rPr>
          <w:rFonts w:hint="eastAsia" w:ascii="仿宋_GB2312" w:eastAsia="仿宋_GB2312"/>
          <w:sz w:val="32"/>
          <w:szCs w:val="32"/>
        </w:rPr>
        <w:t>与对接农户面对面沟通，了解情况，宣讲政策，开展慰问，帮助他们解决问题。院党组书记深入村党支部讲党课2次；积极支持农户发展种养殖业，为全村11户贫困户赠送330只鸡苗（60天鸡龄），为1户贫困群众购买猪仔2头，为1户农户购买5吨储水罐3个。班子成员11次深入阿坝县贾洛寺、各莫寺和黑水县古日巴寺，与联系僧人见面座谈，了解情况，宣讲党的民族宗教政策，引导他们爱国爱教、遵纪守法，积极帮助他们解决实际困难，为古日巴寺僧人红木基安排资金5000元，使其房屋因排水沟漏水长期浸泡房基的老大难问题得到解决。</w:t>
      </w:r>
      <w:r>
        <w:rPr>
          <w:rFonts w:hint="eastAsia" w:ascii="仿宋_GB2312" w:hAnsi="Calibri" w:eastAsia="仿宋_GB2312"/>
          <w:sz w:val="32"/>
          <w:szCs w:val="32"/>
        </w:rPr>
        <w:t>建立“两联一进”相关台账，做好基础资料及相关资料的收集整理，建立专卷，专人管理。</w:t>
      </w:r>
    </w:p>
    <w:p>
      <w:pPr>
        <w:spacing w:line="640" w:lineRule="exact"/>
        <w:ind w:firstLine="482" w:firstLineChars="150"/>
        <w:rPr>
          <w:rFonts w:ascii="仿宋_GB2312" w:eastAsia="仿宋_GB2312"/>
          <w:b/>
          <w:sz w:val="32"/>
          <w:szCs w:val="32"/>
        </w:rPr>
      </w:pPr>
      <w:r>
        <w:rPr>
          <w:rFonts w:hint="eastAsia" w:ascii="仿宋_GB2312" w:hAnsi="Calibri" w:eastAsia="仿宋_GB2312"/>
          <w:b/>
          <w:sz w:val="32"/>
          <w:szCs w:val="32"/>
        </w:rPr>
        <w:t>3.</w:t>
      </w:r>
      <w:r>
        <w:rPr>
          <w:rFonts w:hint="eastAsia" w:ascii="仿宋_GB2312" w:eastAsia="仿宋_GB2312"/>
          <w:b/>
          <w:sz w:val="32"/>
          <w:szCs w:val="32"/>
        </w:rPr>
        <w:t>认真开展“不忘初心，牢记使命”主题教育</w:t>
      </w:r>
    </w:p>
    <w:p>
      <w:pPr>
        <w:spacing w:line="640" w:lineRule="exact"/>
        <w:ind w:firstLine="640" w:firstLineChars="200"/>
        <w:jc w:val="left"/>
        <w:rPr>
          <w:rFonts w:ascii="仿宋_GB2312" w:hAnsi="宋体" w:eastAsia="仿宋_GB2312"/>
          <w:b/>
          <w:sz w:val="32"/>
          <w:szCs w:val="32"/>
        </w:rPr>
      </w:pPr>
      <w:r>
        <w:rPr>
          <w:rFonts w:hint="eastAsia" w:ascii="仿宋_GB2312" w:eastAsia="仿宋_GB2312"/>
          <w:sz w:val="32"/>
          <w:szCs w:val="32"/>
        </w:rPr>
        <w:t>按照省委、州委要求，院党组成立领导小组，制定工作方案，明确人员和责任，积极推进</w:t>
      </w:r>
      <w:r>
        <w:rPr>
          <w:rFonts w:hint="eastAsia" w:ascii="仿宋_GB2312" w:hAnsi="仿宋_GB2312" w:eastAsia="仿宋_GB2312" w:cs="仿宋_GB2312"/>
          <w:sz w:val="32"/>
          <w:szCs w:val="32"/>
        </w:rPr>
        <w:t>“不忘初心 牢记使命”主题教育。在集中学习研讨方面，原原本本的学习“两书一片”及习近平总书记系列重要讲话精神，学习先进典型事迹，跟进学习</w:t>
      </w:r>
      <w:r>
        <w:rPr>
          <w:rFonts w:hint="eastAsia" w:ascii="仿宋_GB2312" w:eastAsia="仿宋_GB2312"/>
          <w:sz w:val="32"/>
          <w:szCs w:val="32"/>
        </w:rPr>
        <w:t>习近平总书记在庆祝中华人民共和国成立70周年大会、在全国民族团结进步表彰大会上的重要讲话精神，学习</w:t>
      </w:r>
      <w:r>
        <w:rPr>
          <w:rFonts w:hint="eastAsia" w:ascii="仿宋_GB2312" w:hAnsi="仿宋_GB2312" w:eastAsia="仿宋_GB2312" w:cs="仿宋_GB2312"/>
          <w:sz w:val="32"/>
          <w:szCs w:val="32"/>
        </w:rPr>
        <w:t>党的十九届四中全会精神，原文学习《中国共产党第十九届中央委员会第四次全体会议公报》和《中共中央关于坚持和完善中国特色社会主义制度、推进国家治理体系和治理能力现代化若干重大问题的决定》等。通过学习，进一步凝聚党员干部的思想动力和干事活力；在调查研究方面，班子成员结合工作实际，认真调研分析，形成了《阿坝州生态保护与发展研究院现状及思考》《</w:t>
      </w:r>
      <w:r>
        <w:rPr>
          <w:rFonts w:hint="eastAsia" w:ascii="仿宋_GB2312" w:eastAsia="仿宋_GB2312"/>
          <w:sz w:val="32"/>
          <w:szCs w:val="32"/>
        </w:rPr>
        <w:t>阿坝州生态工程综合治理的实践与探索</w:t>
      </w:r>
      <w:r>
        <w:rPr>
          <w:rFonts w:hint="eastAsia" w:ascii="仿宋_GB2312" w:hAnsi="仿宋_GB2312" w:eastAsia="仿宋_GB2312" w:cs="仿宋_GB2312"/>
          <w:sz w:val="32"/>
          <w:szCs w:val="32"/>
        </w:rPr>
        <w:t>》《阿坝州农村实用技术培训助力脱贫致富的实践与探索》三篇调研报告，为更好的推进职能工作提出了指导性意见；在检视问题方面，班子成员对照党章、对照《条例》和《准则》，按照中央“18个是否”要求，查找出思想、工作、作风等方面存在的</w:t>
      </w:r>
      <w:r>
        <w:rPr>
          <w:rFonts w:hint="eastAsia" w:ascii="仿宋_GB2312" w:hAnsi="仿宋_GB2312" w:eastAsia="仿宋_GB2312" w:cs="仿宋_GB2312"/>
          <w:color w:val="000000"/>
          <w:sz w:val="32"/>
          <w:szCs w:val="32"/>
        </w:rPr>
        <w:t>30项问题</w:t>
      </w:r>
      <w:r>
        <w:rPr>
          <w:rFonts w:hint="eastAsia" w:ascii="仿宋_GB2312" w:hAnsi="仿宋_GB2312" w:eastAsia="仿宋_GB2312" w:cs="仿宋_GB2312"/>
          <w:sz w:val="32"/>
          <w:szCs w:val="32"/>
        </w:rPr>
        <w:t>，并提出整改措施，为高标准召开专题民主生活会奠定基础。</w:t>
      </w:r>
    </w:p>
    <w:p>
      <w:pPr>
        <w:pStyle w:val="3"/>
        <w:rPr>
          <w:rStyle w:val="25"/>
          <w:b w:val="0"/>
          <w:bCs w:val="0"/>
        </w:rPr>
      </w:pPr>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4"/>
      <w:bookmarkEnd w:id="25"/>
      <w:bookmarkEnd w:id="26"/>
    </w:p>
    <w:p>
      <w:pPr>
        <w:spacing w:line="360" w:lineRule="auto"/>
        <w:ind w:firstLine="57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阿坝州生态保护与发展研究院组建于2017年10月，为阿坝州科技局管理的正县级公益一类事业单位，设办公室、生态科、项目推进科、科技信息服务科、人事财务科5个内设机构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无下属单位。</w:t>
      </w:r>
    </w:p>
    <w:p>
      <w:pPr>
        <w:spacing w:line="360" w:lineRule="auto"/>
        <w:ind w:firstLine="570"/>
        <w:rPr>
          <w:rFonts w:hint="eastAsia" w:ascii="仿宋_GB2312" w:hAnsi="仿宋_GB2312" w:eastAsia="仿宋_GB2312" w:cs="仿宋_GB2312"/>
          <w:sz w:val="32"/>
          <w:szCs w:val="32"/>
          <w:lang w:eastAsia="zh-CN"/>
        </w:rPr>
      </w:pPr>
    </w:p>
    <w:p>
      <w:pPr>
        <w:spacing w:line="360" w:lineRule="auto"/>
        <w:ind w:firstLine="570"/>
        <w:rPr>
          <w:rFonts w:hint="eastAsia" w:ascii="仿宋_GB2312" w:hAnsi="仿宋_GB2312" w:eastAsia="仿宋_GB2312" w:cs="仿宋_GB2312"/>
          <w:sz w:val="32"/>
          <w:szCs w:val="32"/>
          <w:lang w:eastAsia="zh-CN"/>
        </w:rPr>
      </w:pPr>
    </w:p>
    <w:p>
      <w:pPr>
        <w:spacing w:line="360" w:lineRule="auto"/>
        <w:ind w:firstLine="570"/>
        <w:rPr>
          <w:rFonts w:hint="eastAsia" w:ascii="仿宋_GB2312" w:hAnsi="仿宋_GB2312" w:eastAsia="仿宋_GB2312" w:cs="仿宋_GB2312"/>
          <w:sz w:val="32"/>
          <w:szCs w:val="32"/>
          <w:lang w:eastAsia="zh-CN"/>
        </w:rPr>
      </w:pPr>
    </w:p>
    <w:p>
      <w:pPr>
        <w:spacing w:line="360" w:lineRule="auto"/>
        <w:ind w:firstLine="570"/>
        <w:rPr>
          <w:rFonts w:hint="eastAsia" w:ascii="仿宋_GB2312" w:hAnsi="仿宋_GB2312" w:eastAsia="仿宋_GB2312" w:cs="仿宋_GB2312"/>
          <w:sz w:val="32"/>
          <w:szCs w:val="32"/>
          <w:lang w:eastAsia="zh-CN"/>
        </w:rPr>
      </w:pPr>
    </w:p>
    <w:p>
      <w:pPr>
        <w:spacing w:line="360" w:lineRule="auto"/>
        <w:ind w:firstLine="570"/>
        <w:rPr>
          <w:rFonts w:hint="eastAsia" w:ascii="仿宋_GB2312" w:hAnsi="仿宋_GB2312" w:eastAsia="仿宋_GB2312" w:cs="仿宋_GB2312"/>
          <w:sz w:val="32"/>
          <w:szCs w:val="32"/>
          <w:lang w:eastAsia="zh-CN"/>
        </w:rPr>
      </w:pPr>
    </w:p>
    <w:p>
      <w:pPr>
        <w:spacing w:line="360" w:lineRule="auto"/>
        <w:ind w:firstLine="570"/>
        <w:rPr>
          <w:rFonts w:hint="eastAsia" w:ascii="仿宋_GB2312" w:hAnsi="仿宋_GB2312" w:eastAsia="仿宋_GB2312" w:cs="仿宋_GB2312"/>
          <w:sz w:val="32"/>
          <w:szCs w:val="32"/>
          <w:lang w:eastAsia="zh-CN"/>
        </w:rPr>
      </w:pPr>
    </w:p>
    <w:p>
      <w:pPr>
        <w:spacing w:line="360" w:lineRule="auto"/>
        <w:ind w:firstLine="570"/>
        <w:rPr>
          <w:rFonts w:hint="eastAsia" w:ascii="仿宋_GB2312" w:hAnsi="仿宋_GB2312" w:eastAsia="仿宋_GB2312" w:cs="仿宋_GB2312"/>
          <w:sz w:val="32"/>
          <w:szCs w:val="32"/>
          <w:lang w:eastAsia="zh-CN"/>
        </w:rPr>
      </w:pPr>
    </w:p>
    <w:p>
      <w:pPr>
        <w:spacing w:line="360" w:lineRule="auto"/>
        <w:ind w:firstLine="570"/>
        <w:rPr>
          <w:rFonts w:hint="eastAsia" w:ascii="仿宋_GB2312" w:hAnsi="仿宋_GB2312" w:eastAsia="仿宋_GB2312" w:cs="仿宋_GB2312"/>
          <w:sz w:val="32"/>
          <w:szCs w:val="32"/>
          <w:lang w:eastAsia="zh-CN"/>
        </w:rPr>
      </w:pPr>
    </w:p>
    <w:p>
      <w:pPr>
        <w:spacing w:line="360" w:lineRule="auto"/>
        <w:ind w:firstLine="570"/>
        <w:rPr>
          <w:rFonts w:hint="eastAsia" w:ascii="仿宋_GB2312" w:hAnsi="仿宋_GB2312" w:eastAsia="仿宋_GB2312" w:cs="仿宋_GB2312"/>
          <w:sz w:val="32"/>
          <w:szCs w:val="32"/>
          <w:lang w:val="en-US" w:eastAsia="zh-CN"/>
        </w:rPr>
      </w:pPr>
    </w:p>
    <w:p>
      <w:pPr>
        <w:pStyle w:val="2"/>
        <w:ind w:right="440"/>
        <w:jc w:val="right"/>
        <w:rPr>
          <w:rStyle w:val="24"/>
          <w:rFonts w:ascii="黑体" w:hAnsi="黑体" w:eastAsia="黑体"/>
          <w:b w:val="0"/>
          <w:bCs w:val="0"/>
        </w:rPr>
      </w:pPr>
      <w:bookmarkStart w:id="27" w:name="_Toc15377204"/>
      <w:bookmarkStart w:id="28" w:name="_Toc15396602"/>
      <w:bookmarkStart w:id="29" w:name="_Toc7117"/>
      <w:r>
        <w:rPr>
          <w:rFonts w:hint="eastAsia" w:ascii="黑体" w:hAnsi="黑体" w:eastAsia="黑体"/>
          <w:b w:val="0"/>
          <w:color w:val="000000"/>
        </w:rPr>
        <w:t>第二部分</w:t>
      </w:r>
      <w:r>
        <w:rPr>
          <w:rStyle w:val="24"/>
          <w:rFonts w:hint="eastAsia" w:ascii="黑体" w:hAnsi="黑体" w:eastAsia="黑体"/>
          <w:b w:val="0"/>
          <w:bCs w:val="0"/>
        </w:rPr>
        <w:t>2019年度部门决算情况说明</w:t>
      </w:r>
      <w:bookmarkEnd w:id="27"/>
      <w:bookmarkEnd w:id="28"/>
      <w:bookmarkEnd w:id="29"/>
    </w:p>
    <w:p/>
    <w:p>
      <w:pPr>
        <w:pStyle w:val="23"/>
        <w:numPr>
          <w:ilvl w:val="0"/>
          <w:numId w:val="1"/>
        </w:numPr>
        <w:spacing w:line="600" w:lineRule="exact"/>
        <w:ind w:firstLineChars="0"/>
        <w:outlineLvl w:val="1"/>
        <w:rPr>
          <w:rStyle w:val="25"/>
          <w:rFonts w:ascii="黑体" w:hAnsi="黑体" w:eastAsia="黑体"/>
          <w:b w:val="0"/>
        </w:rPr>
      </w:pPr>
      <w:bookmarkStart w:id="30" w:name="_Toc15377205"/>
      <w:bookmarkStart w:id="31" w:name="_Toc15396603"/>
      <w:bookmarkStart w:id="32" w:name="_Toc9727"/>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30"/>
      <w:bookmarkEnd w:id="31"/>
      <w:bookmarkEnd w:id="32"/>
    </w:p>
    <w:p>
      <w:pPr>
        <w:widowControl/>
        <w:shd w:val="clear" w:color="auto" w:fill="FFFFFF"/>
        <w:spacing w:before="100" w:beforeAutospacing="1" w:after="100" w:afterAutospacing="1"/>
        <w:ind w:firstLine="640" w:firstLineChars="200"/>
        <w:jc w:val="left"/>
        <w:rPr>
          <w:rFonts w:ascii="仿宋_GB2312" w:hAnsi="仿宋" w:eastAsia="仿宋_GB2312"/>
          <w:sz w:val="32"/>
          <w:szCs w:val="32"/>
        </w:rPr>
      </w:pPr>
      <w:r>
        <w:rPr>
          <w:rFonts w:hint="eastAsia" w:ascii="仿宋_GB2312" w:hAnsi="仿宋" w:eastAsia="仿宋_GB2312"/>
          <w:sz w:val="32"/>
          <w:szCs w:val="32"/>
        </w:rPr>
        <w:drawing>
          <wp:anchor distT="0" distB="0" distL="114300" distR="114300" simplePos="0" relativeHeight="251663360" behindDoc="0" locked="0" layoutInCell="1" allowOverlap="1">
            <wp:simplePos x="0" y="0"/>
            <wp:positionH relativeFrom="column">
              <wp:posOffset>76200</wp:posOffset>
            </wp:positionH>
            <wp:positionV relativeFrom="paragraph">
              <wp:posOffset>1216660</wp:posOffset>
            </wp:positionV>
            <wp:extent cx="5267960" cy="2409825"/>
            <wp:effectExtent l="0" t="0" r="5080" b="13335"/>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6"/>
                    <a:stretch>
                      <a:fillRect/>
                    </a:stretch>
                  </pic:blipFill>
                  <pic:spPr>
                    <a:xfrm>
                      <a:off x="0" y="0"/>
                      <a:ext cx="5267960" cy="2409825"/>
                    </a:xfrm>
                    <a:prstGeom prst="rect">
                      <a:avLst/>
                    </a:prstGeom>
                    <a:noFill/>
                    <a:ln>
                      <a:noFill/>
                    </a:ln>
                  </pic:spPr>
                </pic:pic>
              </a:graphicData>
            </a:graphic>
          </wp:anchor>
        </w:drawing>
      </w:r>
      <w:r>
        <w:rPr>
          <w:rFonts w:hint="eastAsia" w:ascii="仿宋_GB2312" w:hAnsi="仿宋" w:eastAsia="仿宋_GB2312"/>
          <w:sz w:val="32"/>
          <w:szCs w:val="32"/>
        </w:rPr>
        <w:t xml:space="preserve"> 2019年度收、支总计526.29万元。与2018年相比，收、支总计各增加1.11万元，增长0.21%。</w:t>
      </w:r>
    </w:p>
    <w:p>
      <w:pPr>
        <w:spacing w:line="600" w:lineRule="exact"/>
        <w:jc w:val="center"/>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w:t>
      </w:r>
    </w:p>
    <w:p>
      <w:pPr>
        <w:spacing w:line="600" w:lineRule="exact"/>
        <w:jc w:val="left"/>
        <w:rPr>
          <w:rFonts w:ascii="仿宋_GB2312" w:eastAsia="仿宋_GB2312"/>
          <w:color w:val="00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33" w:name="_Toc14631"/>
      <w:bookmarkStart w:id="34" w:name="_Toc15377206"/>
      <w:bookmarkStart w:id="35"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33"/>
      <w:bookmarkEnd w:id="34"/>
      <w:bookmarkEnd w:id="35"/>
    </w:p>
    <w:p>
      <w:pPr>
        <w:widowControl/>
        <w:shd w:val="clear" w:color="auto" w:fill="FFFFFF"/>
        <w:spacing w:before="100" w:beforeAutospacing="1" w:after="100" w:afterAutospacing="1"/>
        <w:ind w:firstLine="640" w:firstLineChars="200"/>
        <w:jc w:val="left"/>
        <w:rPr>
          <w:rFonts w:ascii="仿宋_GB2312" w:hAnsi="仿宋" w:eastAsia="仿宋_GB2312"/>
          <w:sz w:val="32"/>
          <w:szCs w:val="32"/>
        </w:rPr>
      </w:pPr>
      <w:r>
        <w:rPr>
          <w:rFonts w:hint="eastAsia" w:ascii="仿宋_GB2312" w:hAnsi="仿宋" w:eastAsia="仿宋_GB2312"/>
          <w:sz w:val="32"/>
          <w:szCs w:val="32"/>
        </w:rPr>
        <w:t>2019 年本年收入合计361.50万元，其中：一般公共预算财政拨款收入361.50万元，占 100.00%；政府性基金预算财政拨款收入0.00万元，占 0.00%；上级补助收入0.00万元，占 0.00%；事业收入0.00万元，占 0.00%；经营收入0.00万元，占 0.00%；附属单位上缴收入0.00万元，占 0.00%；其他收入0.00万元，占 0.00%。</w:t>
      </w:r>
    </w:p>
    <w:p>
      <w:pPr>
        <w:spacing w:line="600" w:lineRule="exact"/>
        <w:jc w:val="center"/>
        <w:outlineLvl w:val="1"/>
        <w:rPr>
          <w:rFonts w:ascii="仿宋" w:hAnsi="仿宋" w:eastAsia="仿宋"/>
          <w:color w:val="000000" w:themeColor="text1"/>
          <w:sz w:val="32"/>
          <w:szCs w:val="32"/>
        </w:rPr>
      </w:pPr>
      <w:bookmarkStart w:id="36" w:name="_Toc13160"/>
      <w:r>
        <w:drawing>
          <wp:anchor distT="0" distB="0" distL="114300" distR="114300" simplePos="0" relativeHeight="251664384" behindDoc="0" locked="0" layoutInCell="1" allowOverlap="1">
            <wp:simplePos x="0" y="0"/>
            <wp:positionH relativeFrom="column">
              <wp:posOffset>84455</wp:posOffset>
            </wp:positionH>
            <wp:positionV relativeFrom="paragraph">
              <wp:posOffset>15240</wp:posOffset>
            </wp:positionV>
            <wp:extent cx="5269865" cy="2408555"/>
            <wp:effectExtent l="0" t="0" r="3175" b="14605"/>
            <wp:wrapSquare wrapText="bothSides"/>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7"/>
                    <a:stretch>
                      <a:fillRect/>
                    </a:stretch>
                  </pic:blipFill>
                  <pic:spPr>
                    <a:xfrm>
                      <a:off x="0" y="0"/>
                      <a:ext cx="5269865" cy="2408555"/>
                    </a:xfrm>
                    <a:prstGeom prst="rect">
                      <a:avLst/>
                    </a:prstGeom>
                    <a:noFill/>
                    <a:ln>
                      <a:noFill/>
                    </a:ln>
                  </pic:spPr>
                </pic:pic>
              </a:graphicData>
            </a:graphic>
          </wp:anchor>
        </w:drawing>
      </w:r>
      <w:r>
        <w:rPr>
          <w:rFonts w:hint="eastAsia" w:ascii="仿宋" w:hAnsi="仿宋" w:eastAsia="仿宋"/>
          <w:color w:val="000000" w:themeColor="text1"/>
          <w:sz w:val="32"/>
          <w:szCs w:val="32"/>
        </w:rPr>
        <w:t>图2：收入决算结构图</w:t>
      </w:r>
      <w:bookmarkEnd w:id="36"/>
    </w:p>
    <w:p>
      <w:pPr>
        <w:spacing w:line="600" w:lineRule="exact"/>
        <w:ind w:firstLine="640" w:firstLineChars="200"/>
        <w:rPr>
          <w:rFonts w:ascii="仿宋_GB2312" w:eastAsia="仿宋_GB2312"/>
          <w:color w:val="FF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37" w:name="_Toc15396605"/>
      <w:bookmarkStart w:id="38" w:name="_Toc15377207"/>
      <w:bookmarkStart w:id="39" w:name="_Toc3758"/>
      <w:r>
        <w:rPr>
          <w:rFonts w:hint="eastAsia" w:ascii="黑体" w:hAnsi="黑体" w:eastAsia="黑体"/>
          <w:color w:val="000000"/>
          <w:sz w:val="32"/>
          <w:szCs w:val="32"/>
        </w:rPr>
        <w:t>支</w:t>
      </w:r>
      <w:r>
        <w:rPr>
          <w:rStyle w:val="25"/>
          <w:rFonts w:hint="eastAsia" w:ascii="黑体" w:hAnsi="黑体" w:eastAsia="黑体"/>
          <w:b w:val="0"/>
        </w:rPr>
        <w:t>出决算情况说明</w:t>
      </w:r>
      <w:bookmarkEnd w:id="37"/>
      <w:bookmarkEnd w:id="38"/>
      <w:bookmarkEnd w:id="39"/>
    </w:p>
    <w:p>
      <w:pPr>
        <w:widowControl/>
        <w:shd w:val="clear" w:color="auto" w:fill="FFFFFF"/>
        <w:spacing w:before="100" w:beforeAutospacing="1" w:after="100" w:afterAutospacing="1"/>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 2019 年本年支出合计494.82万元，其中：基本支出331.46万元，占 66.99%；项目支出163.36万元，占 33.01%；上缴上级支出0.00万元，占 0.00%；经营支出0.00万元，占 0.00%；对附属单位补助支出0.00万元，占 0.00%；。</w:t>
      </w:r>
    </w:p>
    <w:p>
      <w:pPr>
        <w:widowControl/>
        <w:shd w:val="clear" w:color="auto" w:fill="FFFFFF"/>
        <w:spacing w:before="100" w:beforeAutospacing="1" w:after="100" w:afterAutospacing="1"/>
        <w:ind w:firstLine="420" w:firstLineChars="200"/>
        <w:jc w:val="center"/>
        <w:rPr>
          <w:rFonts w:ascii="仿宋_GB2312" w:eastAsia="仿宋_GB2312"/>
          <w:color w:val="FF0000"/>
          <w:sz w:val="32"/>
          <w:szCs w:val="32"/>
        </w:rPr>
      </w:pPr>
      <w:r>
        <w:drawing>
          <wp:inline distT="0" distB="0" distL="114300" distR="114300">
            <wp:extent cx="5269865" cy="2413000"/>
            <wp:effectExtent l="0" t="0" r="3175" b="1016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8"/>
                    <a:stretch>
                      <a:fillRect/>
                    </a:stretch>
                  </pic:blipFill>
                  <pic:spPr>
                    <a:xfrm>
                      <a:off x="0" y="0"/>
                      <a:ext cx="5269865" cy="2413000"/>
                    </a:xfrm>
                    <a:prstGeom prst="rect">
                      <a:avLst/>
                    </a:prstGeom>
                    <a:noFill/>
                    <a:ln>
                      <a:noFill/>
                    </a:ln>
                  </pic:spPr>
                </pic:pic>
              </a:graphicData>
            </a:graphic>
          </wp:inline>
        </w:drawing>
      </w:r>
      <w:r>
        <w:rPr>
          <w:rFonts w:hint="eastAsia" w:ascii="仿宋" w:hAnsi="仿宋" w:eastAsia="仿宋"/>
          <w:color w:val="000000" w:themeColor="text1"/>
          <w:sz w:val="32"/>
          <w:szCs w:val="32"/>
        </w:rPr>
        <w:t>图3：支出决算结构图</w:t>
      </w:r>
    </w:p>
    <w:p>
      <w:pPr>
        <w:spacing w:line="600" w:lineRule="exact"/>
        <w:ind w:firstLine="640" w:firstLineChars="200"/>
        <w:outlineLvl w:val="1"/>
        <w:rPr>
          <w:rStyle w:val="25"/>
          <w:rFonts w:ascii="黑体" w:hAnsi="黑体" w:eastAsia="黑体"/>
          <w:b w:val="0"/>
        </w:rPr>
      </w:pPr>
      <w:bookmarkStart w:id="40" w:name="_Toc15396606"/>
      <w:bookmarkStart w:id="41" w:name="_Toc15377208"/>
      <w:bookmarkStart w:id="42" w:name="_Toc1207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40"/>
      <w:bookmarkEnd w:id="41"/>
      <w:bookmarkEnd w:id="42"/>
    </w:p>
    <w:p>
      <w:pPr>
        <w:widowControl/>
        <w:shd w:val="clear" w:color="auto" w:fill="FFFFFF"/>
        <w:spacing w:before="100" w:beforeAutospacing="1" w:after="100" w:afterAutospacing="1"/>
        <w:ind w:firstLine="640" w:firstLineChars="200"/>
        <w:jc w:val="left"/>
        <w:rPr>
          <w:rFonts w:ascii="仿宋_GB2312" w:hAnsi="仿宋" w:eastAsia="仿宋_GB2312"/>
          <w:sz w:val="32"/>
          <w:szCs w:val="32"/>
        </w:rPr>
      </w:pPr>
      <w:r>
        <w:rPr>
          <w:rFonts w:hint="eastAsia" w:ascii="仿宋_GB2312" w:hAnsi="仿宋" w:eastAsia="仿宋_GB2312"/>
          <w:sz w:val="32"/>
          <w:szCs w:val="32"/>
        </w:rPr>
        <w:t>2019 年财政拨款收、支总计占526.29；万元。与2018年相比，财政拨款收、支总计各增加1.34万元，增长0.26%。</w:t>
      </w:r>
    </w:p>
    <w:p>
      <w:pPr>
        <w:widowControl/>
        <w:shd w:val="clear" w:color="auto" w:fill="FFFFFF"/>
        <w:spacing w:before="100" w:beforeAutospacing="1" w:after="100" w:afterAutospacing="1"/>
        <w:ind w:firstLine="420" w:firstLineChars="200"/>
        <w:jc w:val="center"/>
        <w:rPr>
          <w:rFonts w:ascii="仿宋" w:hAnsi="仿宋" w:eastAsia="仿宋"/>
          <w:b/>
          <w:color w:val="00B050"/>
          <w:sz w:val="32"/>
          <w:szCs w:val="32"/>
        </w:rPr>
      </w:pPr>
      <w:r>
        <w:drawing>
          <wp:inline distT="0" distB="0" distL="114300" distR="114300">
            <wp:extent cx="5267960" cy="2409825"/>
            <wp:effectExtent l="0" t="0" r="5080" b="13335"/>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9"/>
                    <a:stretch>
                      <a:fillRect/>
                    </a:stretch>
                  </pic:blipFill>
                  <pic:spPr>
                    <a:xfrm>
                      <a:off x="0" y="0"/>
                      <a:ext cx="5267960" cy="2409825"/>
                    </a:xfrm>
                    <a:prstGeom prst="rect">
                      <a:avLst/>
                    </a:prstGeom>
                    <a:noFill/>
                    <a:ln>
                      <a:noFill/>
                    </a:ln>
                  </pic:spPr>
                </pic:pic>
              </a:graphicData>
            </a:graphic>
          </wp:inline>
        </w:drawing>
      </w:r>
      <w:r>
        <w:rPr>
          <w:rFonts w:hint="eastAsia" w:ascii="仿宋" w:hAnsi="仿宋" w:eastAsia="仿宋"/>
          <w:color w:val="000000" w:themeColor="text1"/>
          <w:sz w:val="32"/>
          <w:szCs w:val="32"/>
        </w:rPr>
        <w:t>图4：财政拨款收、支决算总计变动情况</w:t>
      </w:r>
    </w:p>
    <w:p>
      <w:pPr>
        <w:spacing w:line="600" w:lineRule="exact"/>
        <w:ind w:firstLine="640" w:firstLineChars="200"/>
        <w:outlineLvl w:val="1"/>
        <w:rPr>
          <w:rStyle w:val="25"/>
          <w:rFonts w:ascii="黑体" w:hAnsi="黑体" w:eastAsia="黑体"/>
          <w:b w:val="0"/>
        </w:rPr>
      </w:pPr>
      <w:bookmarkStart w:id="43" w:name="_Toc15396607"/>
      <w:bookmarkStart w:id="44" w:name="_Toc15377209"/>
      <w:bookmarkStart w:id="45" w:name="_Toc17763"/>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43"/>
      <w:bookmarkEnd w:id="44"/>
      <w:bookmarkEnd w:id="45"/>
    </w:p>
    <w:p>
      <w:pPr>
        <w:spacing w:line="600" w:lineRule="exact"/>
        <w:ind w:firstLine="643" w:firstLineChars="200"/>
        <w:outlineLvl w:val="2"/>
        <w:rPr>
          <w:rFonts w:ascii="仿宋" w:hAnsi="仿宋" w:eastAsia="仿宋"/>
          <w:b/>
          <w:color w:val="000000"/>
          <w:sz w:val="32"/>
          <w:szCs w:val="32"/>
        </w:rPr>
      </w:pPr>
      <w:bookmarkStart w:id="46" w:name="_Toc15377210"/>
      <w:r>
        <w:rPr>
          <w:rFonts w:hint="eastAsia" w:ascii="仿宋" w:hAnsi="仿宋" w:eastAsia="仿宋"/>
          <w:b/>
          <w:color w:val="000000"/>
          <w:sz w:val="32"/>
          <w:szCs w:val="32"/>
        </w:rPr>
        <w:t>（一）一般公共预算财政拨款支出决算总体情况</w:t>
      </w:r>
      <w:bookmarkEnd w:id="46"/>
    </w:p>
    <w:p>
      <w:pPr>
        <w:widowControl/>
        <w:shd w:val="clear" w:color="auto" w:fill="FFFFFF"/>
        <w:spacing w:before="100" w:beforeAutospacing="1" w:after="100" w:afterAutospacing="1"/>
        <w:ind w:firstLine="640" w:firstLineChars="200"/>
        <w:jc w:val="left"/>
        <w:rPr>
          <w:rFonts w:ascii="仿宋_GB2312" w:hAnsi="仿宋" w:eastAsia="仿宋_GB2312"/>
          <w:sz w:val="32"/>
          <w:szCs w:val="32"/>
        </w:rPr>
      </w:pPr>
      <w:r>
        <w:rPr>
          <w:rFonts w:hint="eastAsia" w:ascii="仿宋_GB2312" w:hAnsi="仿宋" w:eastAsia="仿宋_GB2312"/>
          <w:sz w:val="32"/>
          <w:szCs w:val="32"/>
        </w:rPr>
        <w:t>2019 年一般公共预算财政拨款支出494.83万元，占本年支出合计的 100.00%。与2018年相比，一般公共预算财政拨款增加 100.19万元，增长25.39%。主要变动原因是2019年项目支出较2018年18.66万元，增加144.71万元。</w:t>
      </w:r>
    </w:p>
    <w:p>
      <w:pPr>
        <w:spacing w:line="600" w:lineRule="exact"/>
        <w:jc w:val="center"/>
        <w:rPr>
          <w:rFonts w:ascii="仿宋" w:hAnsi="仿宋" w:eastAsia="仿宋"/>
          <w:color w:val="000000" w:themeColor="text1"/>
          <w:sz w:val="32"/>
          <w:szCs w:val="32"/>
        </w:rPr>
      </w:pPr>
      <w:r>
        <w:drawing>
          <wp:anchor distT="0" distB="0" distL="114300" distR="114300" simplePos="0" relativeHeight="251665408" behindDoc="0" locked="0" layoutInCell="1" allowOverlap="1">
            <wp:simplePos x="0" y="0"/>
            <wp:positionH relativeFrom="column">
              <wp:posOffset>53340</wp:posOffset>
            </wp:positionH>
            <wp:positionV relativeFrom="paragraph">
              <wp:posOffset>22860</wp:posOffset>
            </wp:positionV>
            <wp:extent cx="5269865" cy="2408555"/>
            <wp:effectExtent l="0" t="0" r="3175" b="14605"/>
            <wp:wrapSquare wrapText="bothSides"/>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10"/>
                    <a:stretch>
                      <a:fillRect/>
                    </a:stretch>
                  </pic:blipFill>
                  <pic:spPr>
                    <a:xfrm>
                      <a:off x="0" y="0"/>
                      <a:ext cx="5269865" cy="2408555"/>
                    </a:xfrm>
                    <a:prstGeom prst="rect">
                      <a:avLst/>
                    </a:prstGeom>
                    <a:noFill/>
                    <a:ln>
                      <a:noFill/>
                    </a:ln>
                  </pic:spPr>
                </pic:pic>
              </a:graphicData>
            </a:graphic>
          </wp:anchor>
        </w:drawing>
      </w:r>
      <w:r>
        <w:rPr>
          <w:rFonts w:hint="eastAsia" w:ascii="仿宋" w:hAnsi="仿宋" w:eastAsia="仿宋"/>
          <w:color w:val="000000" w:themeColor="text1"/>
          <w:sz w:val="32"/>
          <w:szCs w:val="32"/>
        </w:rPr>
        <w:t>图5：一般公共预算财政拨款支出决算变动情况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47" w:name="_Toc15377211"/>
      <w:r>
        <w:rPr>
          <w:rFonts w:hint="eastAsia" w:ascii="仿宋" w:hAnsi="仿宋" w:eastAsia="仿宋"/>
          <w:b/>
          <w:color w:val="000000"/>
          <w:sz w:val="32"/>
          <w:szCs w:val="32"/>
        </w:rPr>
        <w:t>（二）一般公共预算财政拨款支出决算结构情况</w:t>
      </w:r>
      <w:bookmarkEnd w:id="47"/>
    </w:p>
    <w:p>
      <w:pPr>
        <w:widowControl/>
        <w:shd w:val="clear" w:color="auto" w:fill="FFFFFF"/>
        <w:spacing w:before="100" w:beforeAutospacing="1" w:after="100" w:afterAutospacing="1"/>
        <w:ind w:firstLine="640" w:firstLineChars="200"/>
        <w:jc w:val="left"/>
        <w:rPr>
          <w:rFonts w:ascii="宋体" w:hAnsi="宋体" w:cs="宋体"/>
          <w:kern w:val="0"/>
          <w:sz w:val="18"/>
          <w:szCs w:val="18"/>
        </w:rPr>
      </w:pPr>
      <w:r>
        <w:rPr>
          <w:rStyle w:val="14"/>
          <w:rFonts w:hint="eastAsia" w:ascii="仿宋_GB2312" w:hAnsi="仿宋" w:eastAsia="仿宋_GB2312"/>
          <w:b w:val="0"/>
          <w:bCs/>
          <w:color w:val="000000"/>
          <w:sz w:val="32"/>
          <w:szCs w:val="32"/>
        </w:rPr>
        <w:t>2019年一般公共预算财政拨款支出494.83万元，主要用于以下方面:一般公共服务（类）支出0.00万元，占0.00%；外交支出（类）0.00万元，占0.00%，国防支出（类）0.00万元，占0.00%；公共安全支出（类）0.00万元，占0.00%；教育支出（类）0.00万元，占0.00%；科学技术（类）支出424.19万元，占85.72%；文化旅游体育与传媒（类）支出0.00万元，占0.00%；社会保障和就业（类）支出35.05万元，占7.08%；卫生健康支出（类）14.14万元，占2.86%%；节能环保支出（类）0.00万元，占0.00%；城乡社区支出（类）0.00万元，占0.00%；农林水支出（类）0.00万元，占0.00%；交通运输支出（类）0.00万元，占0.00%；资源勘探信息等支出（类）0.00万元，占0.00%；商业服务业等支出（类）0.00万元，占0.00%；金融支出（类）0.00万元，占0.00%；援助其他地区支出（类）0.00万元，占0.00%；自然资源海洋气象等支出（类）0.00万元，占0.00%；住房保障支出（类）21.45万元，占4.33%；粮油物资储备支出（类）0.00万元，占0.00%；灾害防治及应急管理支出（类）0.00万元，占0.00%；其他支出（类）0.00万元，占0.00%；债务还本支出（类）0.00万元，占0.00%；债务付息支出（类）0.00万元，占0.00%。</w:t>
      </w:r>
    </w:p>
    <w:p>
      <w:pPr>
        <w:widowControl/>
        <w:shd w:val="clear" w:color="auto" w:fill="FFFFFF"/>
        <w:spacing w:before="100" w:beforeAutospacing="1" w:after="100" w:afterAutospacing="1"/>
        <w:ind w:firstLine="420" w:firstLineChars="200"/>
        <w:jc w:val="center"/>
        <w:rPr>
          <w:rFonts w:ascii="仿宋" w:hAnsi="仿宋" w:eastAsia="仿宋"/>
          <w:color w:val="000000"/>
          <w:sz w:val="32"/>
          <w:szCs w:val="32"/>
        </w:rPr>
      </w:pPr>
      <w:r>
        <w:drawing>
          <wp:inline distT="0" distB="0" distL="114300" distR="114300">
            <wp:extent cx="5267960" cy="2409825"/>
            <wp:effectExtent l="0" t="0" r="5080" b="13335"/>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11"/>
                    <a:stretch>
                      <a:fillRect/>
                    </a:stretch>
                  </pic:blipFill>
                  <pic:spPr>
                    <a:xfrm>
                      <a:off x="0" y="0"/>
                      <a:ext cx="5267960" cy="2409825"/>
                    </a:xfrm>
                    <a:prstGeom prst="rect">
                      <a:avLst/>
                    </a:prstGeom>
                    <a:noFill/>
                    <a:ln>
                      <a:noFill/>
                    </a:ln>
                  </pic:spPr>
                </pic:pic>
              </a:graphicData>
            </a:graphic>
          </wp:inline>
        </w:drawing>
      </w:r>
    </w:p>
    <w:p>
      <w:pPr>
        <w:widowControl/>
        <w:shd w:val="clear" w:color="auto" w:fill="FFFFFF"/>
        <w:spacing w:before="100" w:beforeAutospacing="1" w:after="100" w:afterAutospacing="1"/>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48" w:name="_Toc15377212"/>
      <w:r>
        <w:rPr>
          <w:rFonts w:hint="eastAsia" w:ascii="仿宋" w:hAnsi="仿宋" w:eastAsia="仿宋"/>
          <w:b/>
          <w:color w:val="000000"/>
          <w:sz w:val="32"/>
          <w:szCs w:val="32"/>
        </w:rPr>
        <w:t>（三）一般公共预算财政拨款支出决算具体情况</w:t>
      </w:r>
      <w:bookmarkEnd w:id="48"/>
    </w:p>
    <w:p>
      <w:pPr>
        <w:snapToGrid w:val="0"/>
        <w:spacing w:line="520" w:lineRule="exact"/>
        <w:ind w:firstLine="643" w:firstLineChars="200"/>
        <w:rPr>
          <w:rStyle w:val="14"/>
          <w:rFonts w:ascii="仿宋_GB2312" w:hAnsi="仿宋" w:eastAsia="仿宋_GB2312"/>
          <w:sz w:val="32"/>
          <w:szCs w:val="32"/>
        </w:rPr>
      </w:pPr>
      <w:r>
        <w:rPr>
          <w:rStyle w:val="14"/>
          <w:rFonts w:hint="eastAsia" w:ascii="仿宋_GB2312" w:hAnsi="仿宋" w:eastAsia="仿宋_GB2312"/>
          <w:sz w:val="32"/>
          <w:szCs w:val="32"/>
        </w:rPr>
        <w:t>2019年一般公共预算支出决算数为494.83，完成预算94.02%。其中：</w:t>
      </w:r>
    </w:p>
    <w:p>
      <w:pPr>
        <w:snapToGrid w:val="0"/>
        <w:spacing w:line="520" w:lineRule="exact"/>
        <w:ind w:firstLine="643" w:firstLineChars="200"/>
        <w:rPr>
          <w:rStyle w:val="14"/>
          <w:rFonts w:ascii="仿宋_GB2312" w:hAnsi="仿宋" w:eastAsia="仿宋_GB2312"/>
          <w:b w:val="0"/>
          <w:bCs/>
          <w:color w:val="000000"/>
          <w:sz w:val="32"/>
          <w:szCs w:val="32"/>
        </w:rPr>
      </w:pPr>
      <w:r>
        <w:rPr>
          <w:rStyle w:val="14"/>
          <w:rFonts w:ascii="仿宋_GB2312" w:hAnsi="仿宋" w:eastAsia="仿宋_GB2312"/>
          <w:sz w:val="32"/>
          <w:szCs w:val="32"/>
        </w:rPr>
        <w:t>1.</w:t>
      </w:r>
      <w:r>
        <w:rPr>
          <w:rStyle w:val="14"/>
          <w:rFonts w:hint="eastAsia" w:ascii="仿宋_GB2312" w:hAnsi="仿宋" w:eastAsia="仿宋_GB2312"/>
          <w:sz w:val="32"/>
          <w:szCs w:val="32"/>
        </w:rPr>
        <w:t>科学技术支出（类）应用研究（款）机构运行（项）</w:t>
      </w:r>
      <w:r>
        <w:rPr>
          <w:rStyle w:val="14"/>
          <w:rFonts w:ascii="仿宋_GB2312" w:hAnsi="仿宋" w:eastAsia="仿宋_GB2312"/>
          <w:sz w:val="32"/>
          <w:szCs w:val="32"/>
        </w:rPr>
        <w:t>:</w:t>
      </w:r>
      <w:r>
        <w:rPr>
          <w:rStyle w:val="14"/>
          <w:rFonts w:hint="eastAsia" w:ascii="仿宋_GB2312" w:hAnsi="仿宋" w:eastAsia="仿宋_GB2312"/>
          <w:b w:val="0"/>
          <w:bCs/>
          <w:color w:val="000000"/>
          <w:sz w:val="32"/>
          <w:szCs w:val="32"/>
        </w:rPr>
        <w:t>支出决算为260.82万元，完成预算100</w:t>
      </w:r>
      <w:r>
        <w:rPr>
          <w:rStyle w:val="14"/>
          <w:rFonts w:ascii="仿宋_GB2312" w:hAnsi="仿宋" w:eastAsia="仿宋_GB2312"/>
          <w:b w:val="0"/>
          <w:bCs/>
          <w:color w:val="000000"/>
          <w:sz w:val="32"/>
          <w:szCs w:val="32"/>
        </w:rPr>
        <w:t>%</w:t>
      </w:r>
      <w:r>
        <w:rPr>
          <w:rFonts w:hint="eastAsia" w:ascii="仿宋_GB2312" w:hAnsi="仿宋" w:eastAsia="仿宋_GB2312"/>
          <w:sz w:val="32"/>
          <w:szCs w:val="32"/>
        </w:rPr>
        <w:t>。</w:t>
      </w:r>
    </w:p>
    <w:p>
      <w:pPr>
        <w:snapToGrid w:val="0"/>
        <w:spacing w:line="520" w:lineRule="exact"/>
        <w:ind w:firstLine="643" w:firstLineChars="200"/>
        <w:rPr>
          <w:rStyle w:val="14"/>
          <w:rFonts w:ascii="仿宋_GB2312" w:hAnsi="仿宋" w:eastAsia="仿宋_GB2312"/>
          <w:b w:val="0"/>
          <w:bCs/>
          <w:sz w:val="32"/>
          <w:szCs w:val="32"/>
        </w:rPr>
      </w:pPr>
      <w:r>
        <w:rPr>
          <w:rStyle w:val="14"/>
          <w:rFonts w:ascii="仿宋_GB2312" w:hAnsi="仿宋" w:eastAsia="仿宋_GB2312"/>
          <w:sz w:val="32"/>
          <w:szCs w:val="32"/>
        </w:rPr>
        <w:t>2.</w:t>
      </w:r>
      <w:r>
        <w:rPr>
          <w:rStyle w:val="14"/>
          <w:rFonts w:hint="eastAsia" w:ascii="仿宋_GB2312" w:hAnsi="仿宋" w:eastAsia="仿宋_GB2312"/>
          <w:sz w:val="32"/>
          <w:szCs w:val="32"/>
        </w:rPr>
        <w:t>科学技术支出（类）应用研究（款）社会公益研究（项）</w:t>
      </w:r>
      <w:r>
        <w:rPr>
          <w:rStyle w:val="14"/>
          <w:rFonts w:ascii="仿宋_GB2312" w:hAnsi="仿宋" w:eastAsia="仿宋_GB2312"/>
          <w:sz w:val="32"/>
          <w:szCs w:val="32"/>
        </w:rPr>
        <w:t>:</w:t>
      </w:r>
      <w:r>
        <w:rPr>
          <w:rStyle w:val="14"/>
          <w:rFonts w:hint="eastAsia" w:ascii="仿宋_GB2312" w:hAnsi="仿宋" w:eastAsia="仿宋_GB2312"/>
          <w:b w:val="0"/>
          <w:bCs/>
          <w:sz w:val="32"/>
          <w:szCs w:val="32"/>
        </w:rPr>
        <w:t>支出决算为29.09万元，完成预算</w:t>
      </w:r>
      <w:r>
        <w:rPr>
          <w:rStyle w:val="14"/>
          <w:rFonts w:ascii="仿宋_GB2312" w:hAnsi="仿宋" w:eastAsia="仿宋_GB2312"/>
          <w:b w:val="0"/>
          <w:bCs/>
          <w:sz w:val="32"/>
          <w:szCs w:val="32"/>
        </w:rPr>
        <w:t>100%</w:t>
      </w:r>
      <w:r>
        <w:rPr>
          <w:rStyle w:val="14"/>
          <w:rFonts w:hint="eastAsia" w:ascii="仿宋_GB2312" w:hAnsi="仿宋" w:eastAsia="仿宋_GB2312"/>
          <w:b w:val="0"/>
          <w:bCs/>
          <w:sz w:val="32"/>
          <w:szCs w:val="32"/>
        </w:rPr>
        <w:t>。</w:t>
      </w:r>
    </w:p>
    <w:p>
      <w:pPr>
        <w:spacing w:line="600" w:lineRule="exact"/>
        <w:ind w:firstLine="643" w:firstLineChars="200"/>
        <w:rPr>
          <w:rFonts w:ascii="仿宋_GB2312" w:hAnsi="仿宋" w:eastAsia="仿宋_GB2312"/>
          <w:sz w:val="32"/>
          <w:szCs w:val="32"/>
        </w:rPr>
      </w:pPr>
      <w:r>
        <w:rPr>
          <w:rStyle w:val="14"/>
          <w:rFonts w:ascii="仿宋_GB2312" w:hAnsi="仿宋" w:eastAsia="仿宋_GB2312"/>
          <w:sz w:val="32"/>
          <w:szCs w:val="32"/>
        </w:rPr>
        <w:t>3.</w:t>
      </w:r>
      <w:r>
        <w:rPr>
          <w:rStyle w:val="14"/>
          <w:rFonts w:hint="eastAsia" w:ascii="仿宋_GB2312" w:hAnsi="仿宋" w:eastAsia="仿宋_GB2312"/>
          <w:sz w:val="32"/>
          <w:szCs w:val="32"/>
        </w:rPr>
        <w:t>科学技术支出（类）技术研究与开发（款）应用技术研究与开发（项）</w:t>
      </w:r>
      <w:r>
        <w:rPr>
          <w:rStyle w:val="14"/>
          <w:rFonts w:ascii="仿宋_GB2312" w:hAnsi="仿宋" w:eastAsia="仿宋_GB2312"/>
          <w:sz w:val="32"/>
          <w:szCs w:val="32"/>
        </w:rPr>
        <w:t>:</w:t>
      </w:r>
      <w:r>
        <w:rPr>
          <w:rStyle w:val="14"/>
          <w:rFonts w:hint="eastAsia" w:ascii="仿宋_GB2312" w:hAnsi="仿宋" w:eastAsia="仿宋_GB2312"/>
          <w:b w:val="0"/>
          <w:bCs/>
          <w:color w:val="000000"/>
          <w:sz w:val="32"/>
          <w:szCs w:val="32"/>
        </w:rPr>
        <w:t>支出决算为10万元，完成预算100</w:t>
      </w:r>
      <w:r>
        <w:rPr>
          <w:rStyle w:val="14"/>
          <w:rFonts w:ascii="仿宋_GB2312" w:hAnsi="仿宋" w:eastAsia="仿宋_GB2312"/>
          <w:b w:val="0"/>
          <w:bCs/>
          <w:color w:val="000000"/>
          <w:sz w:val="32"/>
          <w:szCs w:val="32"/>
        </w:rPr>
        <w:t>%</w:t>
      </w:r>
      <w:r>
        <w:rPr>
          <w:rStyle w:val="14"/>
          <w:rFonts w:hint="eastAsia" w:ascii="仿宋_GB2312" w:hAnsi="仿宋" w:eastAsia="仿宋_GB2312"/>
          <w:b w:val="0"/>
          <w:bCs/>
          <w:color w:val="000000"/>
          <w:sz w:val="32"/>
          <w:szCs w:val="32"/>
        </w:rPr>
        <w:t>。决算数小于预算数的主要原因：年末</w:t>
      </w:r>
      <w:r>
        <w:rPr>
          <w:rFonts w:hint="eastAsia" w:ascii="仿宋_GB2312" w:hAnsi="仿宋" w:eastAsia="仿宋_GB2312"/>
          <w:sz w:val="32"/>
          <w:szCs w:val="32"/>
        </w:rPr>
        <w:t>结转两笔跨年度科研项目资金30.91万元。</w:t>
      </w:r>
    </w:p>
    <w:p>
      <w:pPr>
        <w:spacing w:line="600" w:lineRule="exact"/>
        <w:ind w:firstLine="643" w:firstLineChars="200"/>
        <w:rPr>
          <w:rFonts w:ascii="仿宋_GB2312" w:hAnsi="仿宋" w:eastAsia="仿宋_GB2312"/>
          <w:sz w:val="32"/>
          <w:szCs w:val="32"/>
        </w:rPr>
      </w:pPr>
      <w:r>
        <w:rPr>
          <w:rStyle w:val="14"/>
          <w:rFonts w:ascii="仿宋_GB2312" w:hAnsi="仿宋" w:eastAsia="仿宋_GB2312"/>
          <w:sz w:val="32"/>
          <w:szCs w:val="32"/>
        </w:rPr>
        <w:t>4.</w:t>
      </w:r>
      <w:r>
        <w:rPr>
          <w:rStyle w:val="14"/>
          <w:rFonts w:hint="eastAsia" w:ascii="仿宋_GB2312" w:hAnsi="仿宋" w:eastAsia="仿宋_GB2312"/>
          <w:sz w:val="32"/>
          <w:szCs w:val="32"/>
        </w:rPr>
        <w:t>科学技术支出（类）技术研究与开发（款）科技成果转化与扩散</w:t>
      </w:r>
      <w:r>
        <w:rPr>
          <w:rStyle w:val="14"/>
          <w:rFonts w:ascii="仿宋_GB2312" w:hAnsi="仿宋" w:eastAsia="仿宋_GB2312"/>
          <w:sz w:val="32"/>
          <w:szCs w:val="32"/>
        </w:rPr>
        <w:t>:</w:t>
      </w:r>
      <w:r>
        <w:rPr>
          <w:rStyle w:val="14"/>
          <w:rFonts w:hint="eastAsia" w:ascii="仿宋_GB2312" w:hAnsi="仿宋" w:eastAsia="仿宋_GB2312"/>
          <w:b w:val="0"/>
          <w:bCs/>
          <w:color w:val="000000"/>
          <w:sz w:val="32"/>
          <w:szCs w:val="32"/>
        </w:rPr>
        <w:t>支出决算为13.54万元，完成预算73.03</w:t>
      </w:r>
      <w:r>
        <w:rPr>
          <w:rStyle w:val="14"/>
          <w:rFonts w:ascii="仿宋_GB2312" w:hAnsi="仿宋" w:eastAsia="仿宋_GB2312"/>
          <w:b w:val="0"/>
          <w:bCs/>
          <w:color w:val="000000"/>
          <w:sz w:val="32"/>
          <w:szCs w:val="32"/>
        </w:rPr>
        <w:t>%</w:t>
      </w:r>
      <w:r>
        <w:rPr>
          <w:rStyle w:val="14"/>
          <w:rFonts w:hint="eastAsia" w:ascii="仿宋_GB2312" w:hAnsi="仿宋" w:eastAsia="仿宋_GB2312"/>
          <w:b w:val="0"/>
          <w:bCs/>
          <w:color w:val="000000"/>
          <w:sz w:val="32"/>
          <w:szCs w:val="32"/>
        </w:rPr>
        <w:t>，决算数小于预算数的主要原因：年末</w:t>
      </w:r>
      <w:r>
        <w:rPr>
          <w:rFonts w:hint="eastAsia" w:ascii="仿宋_GB2312" w:hAnsi="仿宋" w:eastAsia="仿宋_GB2312"/>
          <w:sz w:val="32"/>
          <w:szCs w:val="32"/>
        </w:rPr>
        <w:t>结转一笔跨年度科研项目资金5万元。</w:t>
      </w:r>
    </w:p>
    <w:p>
      <w:pPr>
        <w:spacing w:line="600" w:lineRule="exact"/>
        <w:ind w:firstLine="643" w:firstLineChars="200"/>
        <w:rPr>
          <w:rFonts w:ascii="仿宋_GB2312" w:hAnsi="仿宋" w:eastAsia="仿宋_GB2312"/>
          <w:sz w:val="32"/>
          <w:szCs w:val="32"/>
        </w:rPr>
      </w:pPr>
      <w:r>
        <w:rPr>
          <w:rStyle w:val="14"/>
          <w:rFonts w:ascii="仿宋_GB2312" w:hAnsi="仿宋" w:eastAsia="仿宋_GB2312"/>
          <w:sz w:val="32"/>
          <w:szCs w:val="32"/>
        </w:rPr>
        <w:t>5.</w:t>
      </w:r>
      <w:r>
        <w:rPr>
          <w:rStyle w:val="14"/>
          <w:rFonts w:hint="eastAsia" w:ascii="仿宋_GB2312" w:hAnsi="仿宋" w:eastAsia="仿宋_GB2312"/>
          <w:sz w:val="32"/>
          <w:szCs w:val="32"/>
        </w:rPr>
        <w:t>科学技术支出（类）其他科学技术支出（款）其他科学技术支出（项）</w:t>
      </w:r>
      <w:r>
        <w:rPr>
          <w:rStyle w:val="14"/>
          <w:rFonts w:ascii="仿宋_GB2312" w:hAnsi="仿宋" w:eastAsia="仿宋_GB2312"/>
          <w:sz w:val="32"/>
          <w:szCs w:val="32"/>
        </w:rPr>
        <w:t>:</w:t>
      </w:r>
      <w:r>
        <w:rPr>
          <w:rStyle w:val="14"/>
          <w:rFonts w:hint="eastAsia" w:ascii="仿宋_GB2312" w:hAnsi="仿宋" w:eastAsia="仿宋_GB2312"/>
          <w:b w:val="0"/>
          <w:bCs/>
          <w:color w:val="000000"/>
          <w:sz w:val="32"/>
          <w:szCs w:val="32"/>
        </w:rPr>
        <w:t>支出决算为110.73万元，完成预算80.71</w:t>
      </w:r>
      <w:r>
        <w:rPr>
          <w:rStyle w:val="14"/>
          <w:rFonts w:ascii="仿宋_GB2312" w:hAnsi="仿宋" w:eastAsia="仿宋_GB2312"/>
          <w:b w:val="0"/>
          <w:bCs/>
          <w:color w:val="000000"/>
          <w:sz w:val="32"/>
          <w:szCs w:val="32"/>
        </w:rPr>
        <w:t>%</w:t>
      </w:r>
      <w:r>
        <w:rPr>
          <w:rFonts w:hint="eastAsia" w:ascii="仿宋_GB2312" w:hAnsi="仿宋" w:eastAsia="仿宋_GB2312"/>
          <w:sz w:val="32"/>
          <w:szCs w:val="32"/>
        </w:rPr>
        <w:t>。</w:t>
      </w:r>
      <w:r>
        <w:rPr>
          <w:rStyle w:val="14"/>
          <w:rFonts w:hint="eastAsia" w:ascii="仿宋_GB2312" w:hAnsi="仿宋" w:eastAsia="仿宋_GB2312"/>
          <w:b w:val="0"/>
          <w:bCs/>
          <w:color w:val="000000"/>
          <w:sz w:val="32"/>
          <w:szCs w:val="32"/>
        </w:rPr>
        <w:t>决算数小于预算数的主要原因：年末</w:t>
      </w:r>
      <w:r>
        <w:rPr>
          <w:rFonts w:hint="eastAsia" w:ascii="仿宋_GB2312" w:hAnsi="仿宋" w:eastAsia="仿宋_GB2312"/>
          <w:sz w:val="32"/>
          <w:szCs w:val="32"/>
        </w:rPr>
        <w:t>结转一笔跨年度实施项目款26.46万元。</w:t>
      </w:r>
    </w:p>
    <w:p>
      <w:pPr>
        <w:spacing w:line="600" w:lineRule="exact"/>
        <w:ind w:firstLine="643" w:firstLineChars="200"/>
        <w:rPr>
          <w:rFonts w:ascii="仿宋_GB2312" w:hAnsi="仿宋" w:eastAsia="仿宋_GB2312"/>
          <w:sz w:val="32"/>
          <w:szCs w:val="32"/>
        </w:rPr>
      </w:pPr>
      <w:r>
        <w:rPr>
          <w:rStyle w:val="14"/>
          <w:rFonts w:hint="eastAsia" w:ascii="仿宋_GB2312" w:hAnsi="仿宋" w:eastAsia="仿宋_GB2312"/>
          <w:color w:val="000000"/>
          <w:sz w:val="32"/>
          <w:szCs w:val="32"/>
        </w:rPr>
        <w:t>6</w:t>
      </w:r>
      <w:r>
        <w:rPr>
          <w:rStyle w:val="14"/>
          <w:rFonts w:ascii="仿宋_GB2312" w:hAnsi="仿宋" w:eastAsia="仿宋_GB2312"/>
          <w:color w:val="000000"/>
          <w:sz w:val="32"/>
          <w:szCs w:val="32"/>
        </w:rPr>
        <w:t xml:space="preserve">. </w:t>
      </w:r>
      <w:r>
        <w:rPr>
          <w:rStyle w:val="14"/>
          <w:rFonts w:hint="eastAsia" w:ascii="仿宋_GB2312" w:hAnsi="仿宋" w:eastAsia="仿宋_GB2312"/>
          <w:color w:val="000000"/>
          <w:sz w:val="32"/>
          <w:szCs w:val="32"/>
        </w:rPr>
        <w:t>社会保障和就业支出</w:t>
      </w:r>
      <w:r>
        <w:rPr>
          <w:rStyle w:val="14"/>
          <w:rFonts w:hint="eastAsia" w:ascii="仿宋_GB2312" w:hAnsi="仿宋" w:eastAsia="仿宋_GB2312"/>
          <w:sz w:val="32"/>
          <w:szCs w:val="32"/>
        </w:rPr>
        <w:t>（类）</w:t>
      </w:r>
      <w:r>
        <w:rPr>
          <w:rStyle w:val="14"/>
          <w:rFonts w:hint="eastAsia" w:ascii="仿宋_GB2312" w:hAnsi="仿宋" w:eastAsia="仿宋_GB2312"/>
          <w:color w:val="000000"/>
          <w:sz w:val="32"/>
          <w:szCs w:val="32"/>
        </w:rPr>
        <w:t>行政事业单位离退休</w:t>
      </w:r>
      <w:r>
        <w:rPr>
          <w:rStyle w:val="14"/>
          <w:rFonts w:hint="eastAsia" w:ascii="仿宋_GB2312" w:hAnsi="仿宋" w:eastAsia="仿宋_GB2312"/>
          <w:sz w:val="32"/>
          <w:szCs w:val="32"/>
        </w:rPr>
        <w:t>（款）</w:t>
      </w:r>
      <w:r>
        <w:rPr>
          <w:rStyle w:val="14"/>
          <w:rFonts w:hint="eastAsia" w:ascii="仿宋_GB2312" w:hAnsi="仿宋" w:eastAsia="仿宋_GB2312"/>
          <w:color w:val="000000"/>
          <w:sz w:val="32"/>
          <w:szCs w:val="32"/>
        </w:rPr>
        <w:t>机关事业单位基本养老保险缴费支出</w:t>
      </w:r>
      <w:r>
        <w:rPr>
          <w:rStyle w:val="14"/>
          <w:rFonts w:hint="eastAsia" w:ascii="仿宋_GB2312" w:hAnsi="仿宋" w:eastAsia="仿宋_GB2312"/>
          <w:sz w:val="32"/>
          <w:szCs w:val="32"/>
        </w:rPr>
        <w:t>（项）</w:t>
      </w:r>
      <w:r>
        <w:rPr>
          <w:rStyle w:val="14"/>
          <w:rFonts w:ascii="仿宋_GB2312" w:hAnsi="仿宋" w:eastAsia="仿宋_GB2312"/>
          <w:b w:val="0"/>
          <w:bCs/>
          <w:color w:val="000000"/>
          <w:sz w:val="32"/>
          <w:szCs w:val="32"/>
        </w:rPr>
        <w:t>:</w:t>
      </w:r>
      <w:r>
        <w:rPr>
          <w:rStyle w:val="14"/>
          <w:rFonts w:hint="eastAsia" w:ascii="仿宋_GB2312" w:hAnsi="仿宋" w:eastAsia="仿宋_GB2312"/>
          <w:b w:val="0"/>
          <w:bCs/>
          <w:color w:val="000000"/>
          <w:sz w:val="32"/>
          <w:szCs w:val="32"/>
        </w:rPr>
        <w:t>支出决算为24万元，完成预算</w:t>
      </w:r>
      <w:r>
        <w:rPr>
          <w:rStyle w:val="14"/>
          <w:rFonts w:ascii="仿宋_GB2312" w:hAnsi="仿宋" w:eastAsia="仿宋_GB2312"/>
          <w:b w:val="0"/>
          <w:bCs/>
          <w:color w:val="000000"/>
          <w:sz w:val="32"/>
          <w:szCs w:val="32"/>
        </w:rPr>
        <w:t>100%</w:t>
      </w:r>
      <w:r>
        <w:rPr>
          <w:rFonts w:hint="eastAsia" w:ascii="仿宋_GB2312" w:hAnsi="仿宋" w:eastAsia="仿宋_GB2312"/>
          <w:sz w:val="32"/>
          <w:szCs w:val="32"/>
        </w:rPr>
        <w:t>。</w:t>
      </w:r>
    </w:p>
    <w:p>
      <w:pPr>
        <w:spacing w:line="600" w:lineRule="exact"/>
        <w:ind w:firstLine="643" w:firstLineChars="200"/>
        <w:rPr>
          <w:rFonts w:ascii="仿宋_GB2312" w:hAnsi="仿宋" w:eastAsia="仿宋_GB2312"/>
          <w:sz w:val="32"/>
          <w:szCs w:val="32"/>
        </w:rPr>
      </w:pPr>
      <w:r>
        <w:rPr>
          <w:rStyle w:val="14"/>
          <w:rFonts w:hint="eastAsia" w:ascii="仿宋_GB2312" w:hAnsi="仿宋" w:eastAsia="仿宋_GB2312"/>
          <w:color w:val="000000"/>
          <w:sz w:val="32"/>
          <w:szCs w:val="32"/>
        </w:rPr>
        <w:t>7</w:t>
      </w:r>
      <w:r>
        <w:rPr>
          <w:rStyle w:val="14"/>
          <w:rFonts w:ascii="仿宋_GB2312" w:hAnsi="仿宋" w:eastAsia="仿宋_GB2312"/>
          <w:color w:val="000000"/>
          <w:sz w:val="32"/>
          <w:szCs w:val="32"/>
        </w:rPr>
        <w:t xml:space="preserve">. </w:t>
      </w:r>
      <w:r>
        <w:rPr>
          <w:rStyle w:val="14"/>
          <w:rFonts w:hint="eastAsia" w:ascii="仿宋_GB2312" w:hAnsi="仿宋" w:eastAsia="仿宋_GB2312"/>
          <w:color w:val="000000"/>
          <w:sz w:val="32"/>
          <w:szCs w:val="32"/>
        </w:rPr>
        <w:t>社会保障和就业支出</w:t>
      </w:r>
      <w:r>
        <w:rPr>
          <w:rStyle w:val="14"/>
          <w:rFonts w:hint="eastAsia" w:ascii="仿宋_GB2312" w:hAnsi="仿宋" w:eastAsia="仿宋_GB2312"/>
          <w:sz w:val="32"/>
          <w:szCs w:val="32"/>
        </w:rPr>
        <w:t>（类）</w:t>
      </w:r>
      <w:r>
        <w:rPr>
          <w:rStyle w:val="14"/>
          <w:rFonts w:hint="eastAsia" w:ascii="仿宋_GB2312" w:hAnsi="仿宋" w:eastAsia="仿宋_GB2312"/>
          <w:color w:val="000000"/>
          <w:sz w:val="32"/>
          <w:szCs w:val="32"/>
        </w:rPr>
        <w:t>行政事业单位离退休</w:t>
      </w:r>
      <w:r>
        <w:rPr>
          <w:rStyle w:val="14"/>
          <w:rFonts w:hint="eastAsia" w:ascii="仿宋_GB2312" w:hAnsi="仿宋" w:eastAsia="仿宋_GB2312"/>
          <w:sz w:val="32"/>
          <w:szCs w:val="32"/>
        </w:rPr>
        <w:t>（款）</w:t>
      </w:r>
      <w:r>
        <w:rPr>
          <w:rStyle w:val="14"/>
          <w:rFonts w:hint="eastAsia" w:ascii="仿宋_GB2312" w:hAnsi="仿宋" w:eastAsia="仿宋_GB2312"/>
          <w:color w:val="000000"/>
          <w:sz w:val="32"/>
          <w:szCs w:val="32"/>
        </w:rPr>
        <w:t>机关事业单位职业年金缴费支出</w:t>
      </w:r>
      <w:r>
        <w:rPr>
          <w:rStyle w:val="14"/>
          <w:rFonts w:hint="eastAsia" w:ascii="仿宋_GB2312" w:hAnsi="仿宋" w:eastAsia="仿宋_GB2312"/>
          <w:sz w:val="32"/>
          <w:szCs w:val="32"/>
        </w:rPr>
        <w:t>（项）</w:t>
      </w:r>
      <w:r>
        <w:rPr>
          <w:rStyle w:val="14"/>
          <w:rFonts w:ascii="仿宋_GB2312" w:hAnsi="仿宋" w:eastAsia="仿宋_GB2312"/>
          <w:b w:val="0"/>
          <w:bCs/>
          <w:color w:val="000000"/>
          <w:sz w:val="32"/>
          <w:szCs w:val="32"/>
        </w:rPr>
        <w:t>:</w:t>
      </w:r>
      <w:r>
        <w:rPr>
          <w:rStyle w:val="14"/>
          <w:rFonts w:hint="eastAsia" w:ascii="仿宋_GB2312" w:hAnsi="仿宋" w:eastAsia="仿宋_GB2312"/>
          <w:b w:val="0"/>
          <w:bCs/>
          <w:color w:val="000000"/>
          <w:sz w:val="32"/>
          <w:szCs w:val="32"/>
        </w:rPr>
        <w:t>支出决算为11.05万元，完成预算</w:t>
      </w:r>
      <w:r>
        <w:rPr>
          <w:rStyle w:val="14"/>
          <w:rFonts w:ascii="仿宋_GB2312" w:hAnsi="仿宋" w:eastAsia="仿宋_GB2312"/>
          <w:b w:val="0"/>
          <w:bCs/>
          <w:color w:val="000000"/>
          <w:sz w:val="32"/>
          <w:szCs w:val="32"/>
        </w:rPr>
        <w:t>100%</w:t>
      </w:r>
      <w:r>
        <w:rPr>
          <w:rFonts w:hint="eastAsia" w:ascii="仿宋_GB2312" w:hAnsi="仿宋" w:eastAsia="仿宋_GB2312"/>
          <w:sz w:val="32"/>
          <w:szCs w:val="32"/>
        </w:rPr>
        <w:t>。</w:t>
      </w:r>
    </w:p>
    <w:p>
      <w:pPr>
        <w:spacing w:line="600" w:lineRule="exact"/>
        <w:ind w:firstLine="643" w:firstLineChars="200"/>
        <w:rPr>
          <w:rFonts w:ascii="仿宋_GB2312" w:hAnsi="仿宋" w:eastAsia="仿宋_GB2312"/>
          <w:sz w:val="32"/>
          <w:szCs w:val="32"/>
        </w:rPr>
      </w:pPr>
      <w:r>
        <w:rPr>
          <w:rStyle w:val="14"/>
          <w:rFonts w:hint="eastAsia" w:ascii="仿宋_GB2312" w:hAnsi="仿宋" w:eastAsia="仿宋_GB2312"/>
          <w:color w:val="000000"/>
          <w:sz w:val="32"/>
          <w:szCs w:val="32"/>
        </w:rPr>
        <w:t>8</w:t>
      </w:r>
      <w:r>
        <w:rPr>
          <w:rStyle w:val="14"/>
          <w:rFonts w:ascii="仿宋_GB2312" w:hAnsi="仿宋" w:eastAsia="仿宋_GB2312"/>
          <w:color w:val="000000"/>
          <w:sz w:val="32"/>
          <w:szCs w:val="32"/>
        </w:rPr>
        <w:t xml:space="preserve">. </w:t>
      </w:r>
      <w:r>
        <w:rPr>
          <w:rStyle w:val="14"/>
          <w:rFonts w:hint="eastAsia" w:ascii="仿宋_GB2312" w:hAnsi="仿宋" w:eastAsia="仿宋_GB2312"/>
          <w:color w:val="000000"/>
          <w:sz w:val="32"/>
          <w:szCs w:val="32"/>
        </w:rPr>
        <w:t>卫生健康支出</w:t>
      </w:r>
      <w:r>
        <w:rPr>
          <w:rStyle w:val="14"/>
          <w:rFonts w:hint="eastAsia" w:ascii="仿宋_GB2312" w:hAnsi="仿宋" w:eastAsia="仿宋_GB2312"/>
          <w:sz w:val="32"/>
          <w:szCs w:val="32"/>
        </w:rPr>
        <w:t>（类）</w:t>
      </w:r>
      <w:r>
        <w:rPr>
          <w:rStyle w:val="14"/>
          <w:rFonts w:hint="eastAsia" w:ascii="仿宋_GB2312" w:hAnsi="仿宋" w:eastAsia="仿宋_GB2312"/>
          <w:color w:val="000000"/>
          <w:sz w:val="32"/>
          <w:szCs w:val="32"/>
        </w:rPr>
        <w:t>行政事业单位医疗</w:t>
      </w:r>
      <w:r>
        <w:rPr>
          <w:rStyle w:val="14"/>
          <w:rFonts w:hint="eastAsia" w:ascii="仿宋_GB2312" w:hAnsi="仿宋" w:eastAsia="仿宋_GB2312"/>
          <w:sz w:val="32"/>
          <w:szCs w:val="32"/>
        </w:rPr>
        <w:t>（款）</w:t>
      </w:r>
      <w:r>
        <w:rPr>
          <w:rStyle w:val="14"/>
          <w:rFonts w:hint="eastAsia" w:ascii="仿宋_GB2312" w:hAnsi="仿宋" w:eastAsia="仿宋_GB2312"/>
          <w:color w:val="000000"/>
          <w:sz w:val="32"/>
          <w:szCs w:val="32"/>
        </w:rPr>
        <w:t>事业单位医疗</w:t>
      </w:r>
      <w:r>
        <w:rPr>
          <w:rStyle w:val="14"/>
          <w:rFonts w:hint="eastAsia" w:ascii="仿宋_GB2312" w:hAnsi="仿宋" w:eastAsia="仿宋_GB2312"/>
          <w:sz w:val="32"/>
          <w:szCs w:val="32"/>
        </w:rPr>
        <w:t>（项）</w:t>
      </w:r>
      <w:r>
        <w:rPr>
          <w:rStyle w:val="14"/>
          <w:rFonts w:hint="eastAsia" w:ascii="仿宋_GB2312" w:hAnsi="仿宋" w:eastAsia="仿宋_GB2312"/>
          <w:color w:val="000000"/>
          <w:sz w:val="32"/>
          <w:szCs w:val="32"/>
        </w:rPr>
        <w:t>：</w:t>
      </w:r>
      <w:r>
        <w:rPr>
          <w:rStyle w:val="14"/>
          <w:rFonts w:hint="eastAsia" w:ascii="仿宋_GB2312" w:hAnsi="仿宋" w:eastAsia="仿宋_GB2312"/>
          <w:b w:val="0"/>
          <w:bCs/>
          <w:color w:val="000000"/>
          <w:sz w:val="32"/>
          <w:szCs w:val="32"/>
        </w:rPr>
        <w:t>支出决算为11.64万元，完成预算</w:t>
      </w:r>
      <w:r>
        <w:rPr>
          <w:rStyle w:val="14"/>
          <w:rFonts w:ascii="仿宋_GB2312" w:hAnsi="仿宋" w:eastAsia="仿宋_GB2312"/>
          <w:b w:val="0"/>
          <w:bCs/>
          <w:color w:val="000000"/>
          <w:sz w:val="32"/>
          <w:szCs w:val="32"/>
        </w:rPr>
        <w:t>100%</w:t>
      </w:r>
      <w:r>
        <w:rPr>
          <w:rFonts w:hint="eastAsia" w:ascii="仿宋_GB2312" w:hAnsi="仿宋" w:eastAsia="仿宋_GB2312"/>
          <w:sz w:val="32"/>
          <w:szCs w:val="32"/>
        </w:rPr>
        <w:t>。</w:t>
      </w:r>
    </w:p>
    <w:p>
      <w:pPr>
        <w:spacing w:line="600" w:lineRule="exact"/>
        <w:ind w:firstLine="643" w:firstLineChars="200"/>
        <w:rPr>
          <w:rStyle w:val="14"/>
          <w:rFonts w:ascii="仿宋_GB2312" w:hAnsi="仿宋" w:eastAsia="仿宋_GB2312"/>
          <w:b w:val="0"/>
          <w:bCs/>
          <w:color w:val="000000"/>
          <w:sz w:val="32"/>
          <w:szCs w:val="32"/>
        </w:rPr>
      </w:pPr>
      <w:r>
        <w:rPr>
          <w:rStyle w:val="14"/>
          <w:rFonts w:hint="eastAsia" w:ascii="仿宋_GB2312" w:hAnsi="仿宋" w:eastAsia="仿宋_GB2312"/>
          <w:color w:val="000000"/>
          <w:sz w:val="32"/>
          <w:szCs w:val="32"/>
        </w:rPr>
        <w:t>9</w:t>
      </w:r>
      <w:r>
        <w:rPr>
          <w:rStyle w:val="14"/>
          <w:rFonts w:ascii="仿宋_GB2312" w:hAnsi="仿宋" w:eastAsia="仿宋_GB2312"/>
          <w:color w:val="000000"/>
          <w:sz w:val="32"/>
          <w:szCs w:val="32"/>
        </w:rPr>
        <w:t xml:space="preserve">. </w:t>
      </w:r>
      <w:r>
        <w:rPr>
          <w:rStyle w:val="14"/>
          <w:rFonts w:hint="eastAsia" w:ascii="仿宋_GB2312" w:hAnsi="仿宋" w:eastAsia="仿宋_GB2312"/>
          <w:color w:val="000000"/>
          <w:sz w:val="32"/>
          <w:szCs w:val="32"/>
        </w:rPr>
        <w:t>卫生健康支出</w:t>
      </w:r>
      <w:r>
        <w:rPr>
          <w:rStyle w:val="14"/>
          <w:rFonts w:hint="eastAsia" w:ascii="仿宋_GB2312" w:hAnsi="仿宋" w:eastAsia="仿宋_GB2312"/>
          <w:sz w:val="32"/>
          <w:szCs w:val="32"/>
        </w:rPr>
        <w:t>（类）</w:t>
      </w:r>
      <w:r>
        <w:rPr>
          <w:rStyle w:val="14"/>
          <w:rFonts w:hint="eastAsia" w:ascii="仿宋_GB2312" w:hAnsi="仿宋" w:eastAsia="仿宋_GB2312"/>
          <w:color w:val="000000"/>
          <w:sz w:val="32"/>
          <w:szCs w:val="32"/>
        </w:rPr>
        <w:t>行政事业单位医疗</w:t>
      </w:r>
      <w:r>
        <w:rPr>
          <w:rStyle w:val="14"/>
          <w:rFonts w:ascii="仿宋_GB2312" w:hAnsi="仿宋" w:eastAsia="仿宋_GB2312"/>
          <w:color w:val="000000"/>
          <w:sz w:val="32"/>
          <w:szCs w:val="32"/>
        </w:rPr>
        <w:t>-</w:t>
      </w:r>
      <w:r>
        <w:rPr>
          <w:rStyle w:val="14"/>
          <w:rFonts w:hint="eastAsia" w:ascii="仿宋_GB2312" w:hAnsi="仿宋" w:eastAsia="仿宋_GB2312"/>
          <w:color w:val="000000"/>
          <w:sz w:val="32"/>
          <w:szCs w:val="32"/>
        </w:rPr>
        <w:t>其他行政事业单位医疗支出</w:t>
      </w:r>
      <w:r>
        <w:rPr>
          <w:rStyle w:val="14"/>
          <w:rFonts w:hint="eastAsia" w:ascii="仿宋_GB2312" w:hAnsi="仿宋" w:eastAsia="仿宋_GB2312"/>
          <w:sz w:val="32"/>
          <w:szCs w:val="32"/>
        </w:rPr>
        <w:t>（项）</w:t>
      </w:r>
      <w:r>
        <w:rPr>
          <w:rStyle w:val="14"/>
          <w:rFonts w:hint="eastAsia" w:ascii="仿宋_GB2312" w:hAnsi="仿宋" w:eastAsia="仿宋_GB2312"/>
          <w:color w:val="000000"/>
          <w:sz w:val="32"/>
          <w:szCs w:val="32"/>
        </w:rPr>
        <w:t>：</w:t>
      </w:r>
      <w:r>
        <w:rPr>
          <w:rStyle w:val="14"/>
          <w:rFonts w:hint="eastAsia" w:ascii="仿宋_GB2312" w:hAnsi="仿宋" w:eastAsia="仿宋_GB2312"/>
          <w:b w:val="0"/>
          <w:bCs/>
          <w:color w:val="000000"/>
          <w:sz w:val="32"/>
          <w:szCs w:val="32"/>
        </w:rPr>
        <w:t>支出决算为2.5万元，完成预算</w:t>
      </w:r>
      <w:r>
        <w:rPr>
          <w:rStyle w:val="14"/>
          <w:rFonts w:ascii="仿宋_GB2312" w:hAnsi="仿宋" w:eastAsia="仿宋_GB2312"/>
          <w:b w:val="0"/>
          <w:bCs/>
          <w:color w:val="000000"/>
          <w:sz w:val="32"/>
          <w:szCs w:val="32"/>
        </w:rPr>
        <w:t>100%</w:t>
      </w:r>
      <w:r>
        <w:rPr>
          <w:rFonts w:hint="eastAsia" w:ascii="仿宋_GB2312" w:hAnsi="仿宋" w:eastAsia="仿宋_GB2312"/>
          <w:sz w:val="32"/>
          <w:szCs w:val="32"/>
        </w:rPr>
        <w:t>。</w:t>
      </w:r>
    </w:p>
    <w:p>
      <w:pPr>
        <w:spacing w:line="600" w:lineRule="exact"/>
        <w:ind w:firstLine="643" w:firstLineChars="200"/>
        <w:rPr>
          <w:rFonts w:ascii="仿宋" w:hAnsi="仿宋" w:eastAsia="仿宋"/>
          <w:b/>
          <w:color w:val="000000"/>
          <w:sz w:val="32"/>
          <w:szCs w:val="32"/>
        </w:rPr>
      </w:pPr>
      <w:r>
        <w:rPr>
          <w:rStyle w:val="14"/>
          <w:rFonts w:ascii="仿宋_GB2312" w:hAnsi="仿宋" w:eastAsia="仿宋_GB2312"/>
          <w:color w:val="000000"/>
          <w:sz w:val="32"/>
          <w:szCs w:val="32"/>
        </w:rPr>
        <w:t>1</w:t>
      </w:r>
      <w:r>
        <w:rPr>
          <w:rStyle w:val="14"/>
          <w:rFonts w:hint="eastAsia" w:ascii="仿宋_GB2312" w:hAnsi="仿宋" w:eastAsia="仿宋_GB2312"/>
          <w:color w:val="000000"/>
          <w:sz w:val="32"/>
          <w:szCs w:val="32"/>
        </w:rPr>
        <w:t>0</w:t>
      </w:r>
      <w:r>
        <w:rPr>
          <w:rStyle w:val="14"/>
          <w:rFonts w:ascii="仿宋_GB2312" w:hAnsi="仿宋" w:eastAsia="仿宋_GB2312"/>
          <w:color w:val="000000"/>
          <w:sz w:val="32"/>
          <w:szCs w:val="32"/>
        </w:rPr>
        <w:t xml:space="preserve">. </w:t>
      </w:r>
      <w:r>
        <w:rPr>
          <w:rStyle w:val="14"/>
          <w:rFonts w:hint="eastAsia" w:ascii="仿宋_GB2312" w:hAnsi="仿宋" w:eastAsia="仿宋_GB2312"/>
          <w:color w:val="000000"/>
          <w:sz w:val="32"/>
          <w:szCs w:val="32"/>
        </w:rPr>
        <w:t>住房保障支出</w:t>
      </w:r>
      <w:r>
        <w:rPr>
          <w:rStyle w:val="14"/>
          <w:rFonts w:hint="eastAsia" w:ascii="仿宋_GB2312" w:hAnsi="仿宋" w:eastAsia="仿宋_GB2312"/>
          <w:sz w:val="32"/>
          <w:szCs w:val="32"/>
        </w:rPr>
        <w:t>（类）</w:t>
      </w:r>
      <w:r>
        <w:rPr>
          <w:rStyle w:val="14"/>
          <w:rFonts w:hint="eastAsia" w:ascii="仿宋_GB2312" w:hAnsi="仿宋" w:eastAsia="仿宋_GB2312"/>
          <w:color w:val="000000"/>
          <w:sz w:val="32"/>
          <w:szCs w:val="32"/>
        </w:rPr>
        <w:t>住房改革支出</w:t>
      </w:r>
      <w:r>
        <w:rPr>
          <w:rStyle w:val="14"/>
          <w:rFonts w:hint="eastAsia" w:ascii="仿宋_GB2312" w:hAnsi="仿宋" w:eastAsia="仿宋_GB2312"/>
          <w:sz w:val="32"/>
          <w:szCs w:val="32"/>
        </w:rPr>
        <w:t>（款）</w:t>
      </w:r>
      <w:r>
        <w:rPr>
          <w:rStyle w:val="14"/>
          <w:rFonts w:hint="eastAsia" w:ascii="仿宋_GB2312" w:hAnsi="仿宋" w:eastAsia="仿宋_GB2312"/>
          <w:color w:val="000000"/>
          <w:sz w:val="32"/>
          <w:szCs w:val="32"/>
        </w:rPr>
        <w:t>住房公积金</w:t>
      </w:r>
      <w:r>
        <w:rPr>
          <w:rStyle w:val="14"/>
          <w:rFonts w:hint="eastAsia" w:ascii="仿宋_GB2312" w:hAnsi="仿宋" w:eastAsia="仿宋_GB2312"/>
          <w:sz w:val="32"/>
          <w:szCs w:val="32"/>
        </w:rPr>
        <w:t>（项）</w:t>
      </w:r>
      <w:r>
        <w:rPr>
          <w:rStyle w:val="14"/>
          <w:rFonts w:ascii="仿宋_GB2312" w:hAnsi="仿宋" w:eastAsia="仿宋_GB2312"/>
          <w:color w:val="000000"/>
          <w:sz w:val="32"/>
          <w:szCs w:val="32"/>
        </w:rPr>
        <w:t>:</w:t>
      </w:r>
      <w:r>
        <w:rPr>
          <w:rStyle w:val="14"/>
          <w:rFonts w:hint="eastAsia" w:ascii="仿宋_GB2312" w:hAnsi="仿宋" w:eastAsia="仿宋_GB2312"/>
          <w:b w:val="0"/>
          <w:bCs/>
          <w:color w:val="000000"/>
          <w:sz w:val="32"/>
          <w:szCs w:val="32"/>
        </w:rPr>
        <w:t>支出决算为21.45万元，完成预算</w:t>
      </w:r>
      <w:r>
        <w:rPr>
          <w:rStyle w:val="14"/>
          <w:rFonts w:ascii="仿宋_GB2312" w:hAnsi="仿宋" w:eastAsia="仿宋_GB2312"/>
          <w:b w:val="0"/>
          <w:bCs/>
          <w:color w:val="000000"/>
          <w:sz w:val="32"/>
          <w:szCs w:val="32"/>
        </w:rPr>
        <w:t>100%</w:t>
      </w:r>
      <w:r>
        <w:rPr>
          <w:rFonts w:hint="eastAsia" w:ascii="仿宋_GB2312" w:hAnsi="仿宋" w:eastAsia="仿宋_GB2312"/>
          <w:sz w:val="32"/>
          <w:szCs w:val="32"/>
        </w:rPr>
        <w:t>。</w:t>
      </w:r>
    </w:p>
    <w:p>
      <w:pPr>
        <w:tabs>
          <w:tab w:val="right" w:pos="8306"/>
        </w:tabs>
        <w:spacing w:line="600" w:lineRule="exact"/>
        <w:ind w:firstLine="640"/>
        <w:outlineLvl w:val="1"/>
        <w:rPr>
          <w:rStyle w:val="25"/>
        </w:rPr>
      </w:pPr>
      <w:bookmarkStart w:id="49" w:name="_Toc15377214"/>
      <w:bookmarkStart w:id="50" w:name="_Toc15396608"/>
      <w:bookmarkStart w:id="51" w:name="_Toc12182"/>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9"/>
      <w:bookmarkEnd w:id="50"/>
      <w:bookmarkEnd w:id="51"/>
      <w:r>
        <w:rPr>
          <w:rStyle w:val="25"/>
          <w:rFonts w:ascii="黑体" w:hAnsi="黑体" w:eastAsia="黑体"/>
          <w:b w:val="0"/>
        </w:rPr>
        <w:tab/>
      </w:r>
    </w:p>
    <w:p>
      <w:pPr>
        <w:spacing w:line="600" w:lineRule="exact"/>
        <w:ind w:firstLine="640" w:firstLineChars="200"/>
        <w:rPr>
          <w:rStyle w:val="14"/>
          <w:rFonts w:ascii="仿宋_GB2312" w:hAnsi="仿宋" w:eastAsia="仿宋_GB2312"/>
          <w:b w:val="0"/>
          <w:bCs/>
          <w:color w:val="000000"/>
          <w:sz w:val="32"/>
          <w:szCs w:val="32"/>
        </w:rPr>
      </w:pPr>
      <w:r>
        <w:rPr>
          <w:rStyle w:val="14"/>
          <w:rFonts w:hint="eastAsia" w:ascii="仿宋_GB2312" w:hAnsi="仿宋" w:eastAsia="仿宋_GB2312"/>
          <w:b w:val="0"/>
          <w:bCs/>
          <w:color w:val="000000"/>
          <w:sz w:val="32"/>
          <w:szCs w:val="32"/>
        </w:rPr>
        <w:t>019年一般公共预算财政拨款基本支出331.46万元，其中：</w:t>
      </w:r>
    </w:p>
    <w:p>
      <w:pPr>
        <w:spacing w:line="600" w:lineRule="exact"/>
        <w:ind w:firstLine="640" w:firstLineChars="200"/>
        <w:rPr>
          <w:rStyle w:val="14"/>
          <w:rFonts w:ascii="仿宋_GB2312" w:hAnsi="仿宋" w:eastAsia="仿宋_GB2312"/>
          <w:b w:val="0"/>
          <w:bCs/>
          <w:color w:val="000000"/>
          <w:sz w:val="32"/>
          <w:szCs w:val="32"/>
        </w:rPr>
      </w:pPr>
      <w:bookmarkStart w:id="52" w:name="_Toc15377215"/>
      <w:bookmarkStart w:id="53" w:name="_Toc15396609"/>
      <w:r>
        <w:rPr>
          <w:rStyle w:val="14"/>
          <w:rFonts w:hint="eastAsia" w:ascii="仿宋_GB2312" w:hAnsi="仿宋" w:eastAsia="仿宋_GB2312"/>
          <w:b w:val="0"/>
          <w:bCs/>
          <w:color w:val="000000"/>
          <w:sz w:val="32"/>
          <w:szCs w:val="32"/>
        </w:rPr>
        <w:t>人员经费288.41万元，主要包括：基本工资74.94万元、津贴补贴68.39万元、绩效工资59.72万元、机关事业单位基本养老保险费24.00万元、职业年金缴费11.05万元、</w:t>
      </w:r>
    </w:p>
    <w:p>
      <w:pPr>
        <w:spacing w:line="600" w:lineRule="exact"/>
        <w:rPr>
          <w:rStyle w:val="14"/>
          <w:rFonts w:ascii="仿宋_GB2312" w:hAnsi="仿宋" w:eastAsia="仿宋_GB2312"/>
          <w:b w:val="0"/>
          <w:bCs/>
          <w:color w:val="000000"/>
          <w:sz w:val="32"/>
          <w:szCs w:val="32"/>
        </w:rPr>
      </w:pPr>
      <w:r>
        <w:rPr>
          <w:rStyle w:val="14"/>
          <w:rFonts w:hint="eastAsia" w:ascii="仿宋_GB2312" w:hAnsi="仿宋" w:eastAsia="仿宋_GB2312"/>
          <w:b w:val="0"/>
          <w:bCs/>
          <w:color w:val="000000"/>
          <w:sz w:val="32"/>
          <w:szCs w:val="32"/>
        </w:rPr>
        <w:t>职工基本医疗保险缴费11.64万元、其他社会保障缴费5.63万元、住房公积金21.45万元、医疗费</w:t>
      </w:r>
      <w:r>
        <w:rPr>
          <w:rStyle w:val="14"/>
          <w:rFonts w:hint="eastAsia" w:ascii="仿宋_GB2312" w:hAnsi="仿宋" w:eastAsia="仿宋_GB2312"/>
          <w:b w:val="0"/>
          <w:bCs/>
          <w:color w:val="000000"/>
          <w:sz w:val="32"/>
          <w:szCs w:val="32"/>
        </w:rPr>
        <w:tab/>
      </w:r>
      <w:r>
        <w:rPr>
          <w:rStyle w:val="14"/>
          <w:rFonts w:hint="eastAsia" w:ascii="仿宋_GB2312" w:hAnsi="仿宋" w:eastAsia="仿宋_GB2312"/>
          <w:b w:val="0"/>
          <w:bCs/>
          <w:color w:val="000000"/>
          <w:sz w:val="32"/>
          <w:szCs w:val="32"/>
        </w:rPr>
        <w:t>5.12万元、生活补助6.47万元。</w:t>
      </w:r>
    </w:p>
    <w:p>
      <w:pPr>
        <w:spacing w:line="600" w:lineRule="exact"/>
        <w:ind w:firstLine="640" w:firstLineChars="200"/>
        <w:rPr>
          <w:rStyle w:val="14"/>
          <w:rFonts w:ascii="仿宋_GB2312" w:hAnsi="仿宋" w:eastAsia="仿宋_GB2312"/>
          <w:b w:val="0"/>
          <w:bCs/>
          <w:color w:val="000000"/>
          <w:sz w:val="32"/>
          <w:szCs w:val="32"/>
        </w:rPr>
      </w:pPr>
      <w:r>
        <w:rPr>
          <w:rStyle w:val="14"/>
          <w:rFonts w:hint="eastAsia" w:ascii="仿宋_GB2312" w:hAnsi="仿宋" w:eastAsia="仿宋_GB2312"/>
          <w:b w:val="0"/>
          <w:bCs/>
          <w:color w:val="000000"/>
          <w:sz w:val="32"/>
          <w:szCs w:val="32"/>
        </w:rPr>
        <w:t>公用经费43.05万元，主要包括：办公费4.58万元、印刷费0.43万元、手续费</w:t>
      </w:r>
      <w:r>
        <w:rPr>
          <w:rStyle w:val="14"/>
          <w:rFonts w:hint="eastAsia" w:ascii="仿宋_GB2312" w:hAnsi="仿宋" w:eastAsia="仿宋_GB2312"/>
          <w:b w:val="0"/>
          <w:bCs/>
          <w:color w:val="000000"/>
          <w:sz w:val="32"/>
          <w:szCs w:val="32"/>
        </w:rPr>
        <w:tab/>
      </w:r>
      <w:r>
        <w:rPr>
          <w:rStyle w:val="14"/>
          <w:rFonts w:hint="eastAsia" w:ascii="仿宋_GB2312" w:hAnsi="仿宋" w:eastAsia="仿宋_GB2312"/>
          <w:b w:val="0"/>
          <w:bCs/>
          <w:color w:val="000000"/>
          <w:sz w:val="32"/>
          <w:szCs w:val="32"/>
        </w:rPr>
        <w:t>0.16万元、水费0.61万元、电费6.42万元、邮电费2.56万元、差旅费</w:t>
      </w:r>
      <w:r>
        <w:rPr>
          <w:rStyle w:val="14"/>
          <w:rFonts w:hint="eastAsia" w:ascii="仿宋_GB2312" w:hAnsi="仿宋" w:eastAsia="仿宋_GB2312"/>
          <w:b w:val="0"/>
          <w:bCs/>
          <w:color w:val="000000"/>
          <w:sz w:val="32"/>
          <w:szCs w:val="32"/>
        </w:rPr>
        <w:tab/>
      </w:r>
      <w:r>
        <w:rPr>
          <w:rStyle w:val="14"/>
          <w:rFonts w:hint="eastAsia" w:ascii="仿宋_GB2312" w:hAnsi="仿宋" w:eastAsia="仿宋_GB2312"/>
          <w:b w:val="0"/>
          <w:bCs/>
          <w:color w:val="000000"/>
          <w:sz w:val="32"/>
          <w:szCs w:val="32"/>
        </w:rPr>
        <w:t>9.08万元、维修（护）费2.17万元、培训费1.30万元、公务接待费0.32万元、劳务费1.25万元、委托业务费2.97万元、公务用车运行维护费11.2万元。</w:t>
      </w:r>
    </w:p>
    <w:p>
      <w:pPr>
        <w:spacing w:line="600" w:lineRule="exact"/>
        <w:ind w:firstLine="640"/>
        <w:outlineLvl w:val="1"/>
        <w:rPr>
          <w:rStyle w:val="25"/>
          <w:rFonts w:ascii="黑体" w:hAnsi="黑体" w:eastAsia="黑体"/>
          <w:b w:val="0"/>
        </w:rPr>
      </w:pPr>
      <w:bookmarkStart w:id="54" w:name="_Toc28341"/>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52"/>
      <w:bookmarkEnd w:id="53"/>
      <w:bookmarkEnd w:id="54"/>
    </w:p>
    <w:p>
      <w:pPr>
        <w:spacing w:line="600" w:lineRule="exact"/>
        <w:ind w:firstLine="640"/>
        <w:outlineLvl w:val="2"/>
        <w:rPr>
          <w:rFonts w:ascii="仿宋" w:hAnsi="仿宋" w:eastAsia="仿宋"/>
          <w:b/>
          <w:color w:val="000000"/>
          <w:sz w:val="32"/>
          <w:szCs w:val="32"/>
        </w:rPr>
      </w:pPr>
      <w:bookmarkStart w:id="55" w:name="_Toc15377216"/>
      <w:r>
        <w:rPr>
          <w:rFonts w:hint="eastAsia" w:ascii="仿宋" w:hAnsi="仿宋" w:eastAsia="仿宋"/>
          <w:b/>
          <w:color w:val="000000"/>
          <w:sz w:val="32"/>
          <w:szCs w:val="32"/>
        </w:rPr>
        <w:t>（一）“三公”经费财政拨款支出决算总体情况说明</w:t>
      </w:r>
      <w:bookmarkEnd w:id="55"/>
    </w:p>
    <w:p>
      <w:pPr>
        <w:spacing w:line="600" w:lineRule="exact"/>
        <w:ind w:firstLine="640" w:firstLineChars="200"/>
        <w:rPr>
          <w:rStyle w:val="14"/>
          <w:rFonts w:ascii="仿宋_GB2312" w:hAnsi="仿宋" w:eastAsia="仿宋_GB2312"/>
          <w:b w:val="0"/>
          <w:bCs/>
          <w:color w:val="000000"/>
          <w:sz w:val="32"/>
          <w:szCs w:val="32"/>
        </w:rPr>
      </w:pPr>
      <w:r>
        <w:rPr>
          <w:rStyle w:val="14"/>
          <w:rFonts w:hint="eastAsia" w:ascii="仿宋_GB2312" w:hAnsi="仿宋" w:eastAsia="仿宋_GB2312"/>
          <w:b w:val="0"/>
          <w:bCs/>
          <w:color w:val="000000"/>
          <w:sz w:val="32"/>
          <w:szCs w:val="32"/>
        </w:rPr>
        <w:t>2019年“三公”经费财政拨款支出决算为11.52万元，完成预算100%。</w:t>
      </w:r>
    </w:p>
    <w:p>
      <w:pPr>
        <w:spacing w:line="600" w:lineRule="exact"/>
        <w:ind w:firstLine="640"/>
        <w:outlineLvl w:val="2"/>
        <w:rPr>
          <w:rFonts w:ascii="仿宋" w:hAnsi="仿宋" w:eastAsia="仿宋"/>
          <w:b/>
          <w:color w:val="000000"/>
          <w:sz w:val="32"/>
          <w:szCs w:val="32"/>
        </w:rPr>
      </w:pPr>
      <w:bookmarkStart w:id="56" w:name="_Toc15377217"/>
      <w:r>
        <w:rPr>
          <w:rFonts w:hint="eastAsia" w:ascii="仿宋" w:hAnsi="仿宋" w:eastAsia="仿宋"/>
          <w:b/>
          <w:color w:val="000000"/>
          <w:sz w:val="32"/>
          <w:szCs w:val="32"/>
        </w:rPr>
        <w:t>（二）“三公”经费财政拨款支出决算具体情况说明</w:t>
      </w:r>
      <w:bookmarkEnd w:id="56"/>
    </w:p>
    <w:p>
      <w:pPr>
        <w:widowControl/>
        <w:shd w:val="clear" w:color="auto" w:fill="FFFFFF"/>
        <w:spacing w:before="100" w:beforeAutospacing="1" w:after="100" w:afterAutospacing="1"/>
        <w:ind w:firstLine="640" w:firstLineChars="200"/>
        <w:jc w:val="left"/>
        <w:rPr>
          <w:rStyle w:val="14"/>
          <w:rFonts w:ascii="仿宋_GB2312" w:hAnsi="仿宋" w:eastAsia="仿宋_GB2312"/>
          <w:b w:val="0"/>
          <w:bCs/>
          <w:color w:val="000000"/>
          <w:sz w:val="32"/>
          <w:szCs w:val="32"/>
        </w:rPr>
      </w:pPr>
      <w:r>
        <w:rPr>
          <w:rStyle w:val="14"/>
          <w:rFonts w:hint="eastAsia" w:ascii="仿宋_GB2312" w:hAnsi="仿宋" w:eastAsia="仿宋_GB2312"/>
          <w:b w:val="0"/>
          <w:bCs/>
          <w:color w:val="000000"/>
          <w:sz w:val="32"/>
          <w:szCs w:val="32"/>
        </w:rPr>
        <w:t>2019 年“三公”经费财政拨款支出决算中，因公出国（境）费支出决算0.00万元，占 0.00%；公务用车购置及运行维护费支出决算11.20万元，占 97.22%；公务接待费支出决算0.32万元，占 2.78%。具体情况如下：</w:t>
      </w:r>
    </w:p>
    <w:p>
      <w:pPr>
        <w:widowControl/>
        <w:shd w:val="clear" w:color="auto" w:fill="FFFFFF"/>
        <w:spacing w:before="100" w:beforeAutospacing="1" w:after="100" w:afterAutospacing="1"/>
        <w:ind w:firstLine="420" w:firstLineChars="200"/>
        <w:jc w:val="left"/>
        <w:rPr>
          <w:rStyle w:val="14"/>
          <w:rFonts w:ascii="仿宋_GB2312" w:hAnsi="仿宋" w:eastAsia="仿宋_GB2312"/>
          <w:b w:val="0"/>
          <w:bCs/>
          <w:color w:val="000000"/>
          <w:sz w:val="32"/>
          <w:szCs w:val="32"/>
        </w:rPr>
      </w:pPr>
      <w:r>
        <w:drawing>
          <wp:inline distT="0" distB="0" distL="114300" distR="114300">
            <wp:extent cx="5267960" cy="2409825"/>
            <wp:effectExtent l="0" t="0" r="5080" b="13335"/>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12"/>
                    <a:stretch>
                      <a:fillRect/>
                    </a:stretch>
                  </pic:blipFill>
                  <pic:spPr>
                    <a:xfrm>
                      <a:off x="0" y="0"/>
                      <a:ext cx="5267960" cy="2409825"/>
                    </a:xfrm>
                    <a:prstGeom prst="rect">
                      <a:avLst/>
                    </a:prstGeom>
                    <a:noFill/>
                    <a:ln>
                      <a:noFill/>
                    </a:ln>
                  </pic:spPr>
                </pic:pic>
              </a:graphicData>
            </a:graphic>
          </wp:inline>
        </w:drawing>
      </w:r>
    </w:p>
    <w:p>
      <w:pPr>
        <w:spacing w:line="600" w:lineRule="exact"/>
        <w:ind w:firstLine="640" w:firstLineChars="200"/>
        <w:jc w:val="center"/>
        <w:rPr>
          <w:rFonts w:ascii="仿宋" w:hAnsi="仿宋" w:eastAsia="仿宋"/>
          <w:color w:val="000000"/>
          <w:sz w:val="32"/>
          <w:szCs w:val="32"/>
        </w:rPr>
      </w:pPr>
      <w:r>
        <w:rPr>
          <w:rStyle w:val="14"/>
          <w:rFonts w:hint="eastAsia" w:ascii="仿宋_GB2312" w:hAnsi="仿宋" w:eastAsia="仿宋_GB2312"/>
          <w:b w:val="0"/>
          <w:bCs/>
          <w:color w:val="000000"/>
          <w:sz w:val="32"/>
          <w:szCs w:val="32"/>
        </w:rPr>
        <w:t>图7：“三公”经费财政</w:t>
      </w:r>
      <w:r>
        <w:rPr>
          <w:rFonts w:hint="eastAsia" w:ascii="仿宋" w:hAnsi="仿宋" w:eastAsia="仿宋"/>
          <w:color w:val="000000"/>
          <w:sz w:val="32"/>
          <w:szCs w:val="32"/>
        </w:rPr>
        <w:t>拨款支出结构</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11.2万元,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公务用车购置及运行维护费支出决算与</w:t>
      </w:r>
      <w:r>
        <w:rPr>
          <w:rFonts w:ascii="仿宋_GB2312" w:eastAsia="仿宋_GB2312"/>
          <w:color w:val="000000"/>
          <w:sz w:val="32"/>
          <w:szCs w:val="32"/>
        </w:rPr>
        <w:t>201</w:t>
      </w:r>
      <w:r>
        <w:rPr>
          <w:rFonts w:hint="eastAsia" w:ascii="仿宋_GB2312" w:eastAsia="仿宋_GB2312"/>
          <w:color w:val="000000"/>
          <w:sz w:val="32"/>
          <w:szCs w:val="32"/>
        </w:rPr>
        <w:t>8年持平。</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bCs/>
          <w:color w:val="000000"/>
          <w:sz w:val="32"/>
          <w:szCs w:val="32"/>
        </w:rPr>
        <w:t>公务用车购置支出</w:t>
      </w:r>
      <w:r>
        <w:rPr>
          <w:rFonts w:hint="eastAsia" w:ascii="仿宋_GB2312" w:eastAsia="仿宋_GB2312"/>
          <w:color w:val="000000"/>
          <w:sz w:val="32"/>
          <w:szCs w:val="32"/>
        </w:rPr>
        <w:t>0.00万元。全年按规定更新购置公务用车0辆，金额0.00万元。截至2019年12月底，单位共有公务用车 2辆，其中：主要领导干部用车0辆、机要通信用车0辆、应急保障用车0辆、执法执勤用车0辆、特种专业技术用车0 辆、离退休干部用车0辆、其他用车2辆。</w:t>
      </w:r>
    </w:p>
    <w:p>
      <w:pPr>
        <w:spacing w:line="600" w:lineRule="exact"/>
        <w:ind w:firstLine="640"/>
        <w:rPr>
          <w:rFonts w:ascii="仿宋_GB2312" w:eastAsia="仿宋_GB2312"/>
          <w:color w:val="000000"/>
          <w:sz w:val="32"/>
          <w:szCs w:val="32"/>
        </w:rPr>
      </w:pPr>
      <w:r>
        <w:rPr>
          <w:rFonts w:hint="eastAsia" w:ascii="仿宋_GB2312" w:eastAsia="仿宋_GB2312"/>
          <w:b/>
          <w:bCs/>
          <w:color w:val="000000"/>
          <w:sz w:val="32"/>
          <w:szCs w:val="32"/>
        </w:rPr>
        <w:t>公务用车运行维护费支出</w:t>
      </w:r>
      <w:r>
        <w:rPr>
          <w:rFonts w:hint="eastAsia" w:ascii="仿宋_GB2312" w:eastAsia="仿宋_GB2312"/>
          <w:color w:val="000000"/>
          <w:sz w:val="32"/>
          <w:szCs w:val="32"/>
        </w:rPr>
        <w:t>11.20万元。主要用于单位公务出差、实施项目等所需的公务用车燃料费、维修费、过路过桥费、保险费等支出。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b/>
          <w:bCs/>
          <w:color w:val="000000"/>
          <w:sz w:val="32"/>
          <w:szCs w:val="32"/>
        </w:rPr>
        <w:t>公务接待费支出</w:t>
      </w:r>
      <w:r>
        <w:rPr>
          <w:rFonts w:hint="eastAsia" w:ascii="仿宋_GB2312" w:eastAsia="仿宋_GB2312"/>
          <w:color w:val="000000"/>
          <w:sz w:val="32"/>
          <w:szCs w:val="32"/>
        </w:rPr>
        <w:t>0.00万元，完成预算0.01%。公务接待费支出决算比2018年增加-0.41万元，增长-55.98%。主要原因是公务接待较上年减少。其中：</w:t>
      </w:r>
    </w:p>
    <w:p>
      <w:pPr>
        <w:spacing w:line="600" w:lineRule="exact"/>
        <w:ind w:firstLine="640"/>
        <w:rPr>
          <w:rFonts w:ascii="仿宋_GB2312" w:eastAsia="仿宋_GB2312"/>
          <w:color w:val="000000"/>
          <w:sz w:val="32"/>
          <w:szCs w:val="32"/>
        </w:rPr>
      </w:pPr>
      <w:r>
        <w:rPr>
          <w:rFonts w:hint="eastAsia" w:ascii="仿宋_GB2312" w:eastAsia="仿宋_GB2312"/>
          <w:b/>
          <w:bCs/>
          <w:color w:val="000000"/>
          <w:sz w:val="32"/>
          <w:szCs w:val="32"/>
        </w:rPr>
        <w:t>国内公务接待支出</w:t>
      </w:r>
      <w:r>
        <w:rPr>
          <w:rFonts w:hint="eastAsia" w:ascii="仿宋_GB2312" w:eastAsia="仿宋_GB2312"/>
          <w:color w:val="000000"/>
          <w:sz w:val="32"/>
          <w:szCs w:val="32"/>
        </w:rPr>
        <w:t>0.32万元，主要用于执行公务、开展业务活动开支的用餐费。国内公务接待4批次，29人次（不包括陪同人员），共计支出0.32万元。</w:t>
      </w:r>
    </w:p>
    <w:p>
      <w:pPr>
        <w:spacing w:line="600" w:lineRule="exact"/>
        <w:ind w:firstLine="640"/>
        <w:rPr>
          <w:rFonts w:ascii="仿宋_GB2312" w:eastAsia="仿宋_GB2312"/>
          <w:color w:val="000000"/>
          <w:sz w:val="32"/>
          <w:szCs w:val="32"/>
        </w:rPr>
      </w:pPr>
      <w:r>
        <w:rPr>
          <w:rFonts w:hint="eastAsia" w:ascii="仿宋_GB2312" w:eastAsia="仿宋_GB2312"/>
          <w:b/>
          <w:bCs/>
          <w:color w:val="000000"/>
          <w:sz w:val="32"/>
          <w:szCs w:val="32"/>
        </w:rPr>
        <w:t>外事接待支出</w:t>
      </w:r>
      <w:r>
        <w:rPr>
          <w:rFonts w:hint="eastAsia" w:ascii="仿宋_GB2312" w:eastAsia="仿宋_GB2312"/>
          <w:color w:val="000000"/>
          <w:sz w:val="32"/>
          <w:szCs w:val="32"/>
        </w:rPr>
        <w:t>0.00万元。</w:t>
      </w:r>
    </w:p>
    <w:p>
      <w:pPr>
        <w:spacing w:line="600" w:lineRule="exact"/>
        <w:ind w:firstLine="640"/>
        <w:outlineLvl w:val="1"/>
        <w:rPr>
          <w:rStyle w:val="25"/>
          <w:rFonts w:ascii="黑体" w:hAnsi="黑体" w:eastAsia="黑体"/>
        </w:rPr>
      </w:pPr>
      <w:bookmarkStart w:id="57" w:name="_Toc27558"/>
      <w:bookmarkStart w:id="58" w:name="_Toc15396610"/>
      <w:bookmarkStart w:id="59" w:name="_Toc15377218"/>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57"/>
      <w:bookmarkEnd w:id="58"/>
      <w:bookmarkEnd w:id="5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9年政府性基金预算拨款支出0万元。</w:t>
      </w:r>
    </w:p>
    <w:p>
      <w:pPr>
        <w:numPr>
          <w:ilvl w:val="0"/>
          <w:numId w:val="2"/>
        </w:numPr>
        <w:spacing w:line="600" w:lineRule="exact"/>
        <w:ind w:firstLine="640"/>
        <w:outlineLvl w:val="1"/>
        <w:rPr>
          <w:rStyle w:val="25"/>
          <w:rFonts w:ascii="黑体" w:hAnsi="黑体" w:eastAsia="黑体"/>
          <w:b w:val="0"/>
        </w:rPr>
      </w:pPr>
      <w:bookmarkStart w:id="60" w:name="_Toc15396611"/>
      <w:bookmarkStart w:id="61" w:name="_Toc15377219"/>
      <w:bookmarkStart w:id="62" w:name="_Toc27546"/>
      <w:r>
        <w:rPr>
          <w:rStyle w:val="25"/>
          <w:rFonts w:hint="eastAsia" w:ascii="黑体" w:hAnsi="黑体" w:eastAsia="黑体"/>
          <w:b w:val="0"/>
        </w:rPr>
        <w:t>国有资本经营预算支出决算情况说明</w:t>
      </w:r>
      <w:bookmarkEnd w:id="60"/>
      <w:bookmarkEnd w:id="61"/>
      <w:bookmarkEnd w:id="62"/>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9年国有资本经营预算拨款支出0万元。</w:t>
      </w:r>
    </w:p>
    <w:p>
      <w:pPr>
        <w:spacing w:line="600" w:lineRule="exact"/>
        <w:ind w:firstLine="800" w:firstLineChars="250"/>
        <w:outlineLvl w:val="1"/>
        <w:rPr>
          <w:rStyle w:val="25"/>
          <w:rFonts w:ascii="黑体" w:hAnsi="黑体" w:eastAsia="黑体"/>
        </w:rPr>
      </w:pPr>
      <w:bookmarkStart w:id="63" w:name="_Toc15377221"/>
      <w:bookmarkStart w:id="64" w:name="_Toc15396612"/>
      <w:bookmarkStart w:id="65" w:name="_Toc22103"/>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63"/>
      <w:bookmarkEnd w:id="64"/>
      <w:bookmarkEnd w:id="65"/>
    </w:p>
    <w:p>
      <w:pPr>
        <w:spacing w:line="600" w:lineRule="exact"/>
        <w:ind w:firstLine="643" w:firstLineChars="200"/>
        <w:outlineLvl w:val="2"/>
        <w:rPr>
          <w:rFonts w:ascii="仿宋" w:hAnsi="仿宋" w:eastAsia="仿宋"/>
          <w:color w:val="000000"/>
          <w:sz w:val="32"/>
          <w:szCs w:val="32"/>
        </w:rPr>
      </w:pPr>
      <w:bookmarkStart w:id="66" w:name="_Toc15377222"/>
      <w:r>
        <w:rPr>
          <w:rFonts w:hint="eastAsia" w:ascii="仿宋" w:hAnsi="仿宋" w:eastAsia="仿宋"/>
          <w:b/>
          <w:color w:val="000000"/>
          <w:sz w:val="32"/>
          <w:szCs w:val="32"/>
        </w:rPr>
        <w:t>（一）机关运行经费支出情况</w:t>
      </w:r>
      <w:bookmarkEnd w:id="66"/>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9年机关运行经费支出0万元。与</w:t>
      </w:r>
      <w:r>
        <w:rPr>
          <w:rFonts w:ascii="仿宋_GB2312" w:eastAsia="仿宋_GB2312"/>
          <w:color w:val="000000"/>
          <w:sz w:val="32"/>
          <w:szCs w:val="32"/>
        </w:rPr>
        <w:t>201</w:t>
      </w:r>
      <w:r>
        <w:rPr>
          <w:rFonts w:hint="eastAsia" w:ascii="仿宋_GB2312" w:eastAsia="仿宋_GB2312"/>
          <w:color w:val="000000"/>
          <w:sz w:val="32"/>
          <w:szCs w:val="32"/>
        </w:rPr>
        <w:t>8年决算数一致。</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7" w:name="_Toc15377223"/>
      <w:r>
        <w:rPr>
          <w:rFonts w:hint="eastAsia" w:ascii="仿宋" w:hAnsi="仿宋" w:eastAsia="仿宋"/>
          <w:b/>
          <w:color w:val="000000"/>
          <w:sz w:val="32"/>
          <w:szCs w:val="32"/>
        </w:rPr>
        <w:t>（二）政府采购支出情况</w:t>
      </w:r>
      <w:bookmarkEnd w:id="67"/>
    </w:p>
    <w:p>
      <w:pPr>
        <w:spacing w:line="600" w:lineRule="exact"/>
        <w:ind w:firstLine="640" w:firstLineChars="200"/>
        <w:rPr>
          <w:rFonts w:ascii="仿宋_GB2312" w:eastAsia="仿宋_GB2312"/>
          <w:color w:val="000000"/>
          <w:sz w:val="32"/>
          <w:szCs w:val="32"/>
        </w:rPr>
      </w:pPr>
      <w:bookmarkStart w:id="68" w:name="_Toc15377224"/>
      <w:r>
        <w:rPr>
          <w:rFonts w:hint="eastAsia" w:ascii="仿宋_GB2312" w:eastAsia="仿宋_GB2312"/>
          <w:color w:val="000000"/>
          <w:sz w:val="32"/>
          <w:szCs w:val="32"/>
        </w:rPr>
        <w:t>2019 年四川省阿坝州生态保护与发展研究院（本级）政府采购支出总额7.00万元，其中：政府采购货物支出 7.00万元、政府采购工程支出0.00万元、政府采购服务支出0.00万元。主要用于因变压器损毁购置新变压器1台。授予中小企业合同金额7.00万元，占政府采购支出总额的100.00%，其中：授予小微企业合同金额7.00万元，占政府采购支出总额的100.00%。</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（三）国有资产占有使用情况</w:t>
      </w:r>
      <w:bookmarkEnd w:id="68"/>
    </w:p>
    <w:p>
      <w:pPr>
        <w:spacing w:line="600" w:lineRule="exact"/>
        <w:ind w:firstLine="640" w:firstLineChars="200"/>
        <w:rPr>
          <w:rFonts w:ascii="宋体" w:hAnsi="宋体" w:cs="宋体"/>
          <w:kern w:val="0"/>
          <w:sz w:val="18"/>
          <w:szCs w:val="18"/>
        </w:rPr>
      </w:pPr>
      <w:r>
        <w:rPr>
          <w:rFonts w:hint="eastAsia" w:ascii="仿宋_GB2312" w:eastAsia="仿宋_GB2312"/>
          <w:color w:val="000000"/>
          <w:sz w:val="32"/>
          <w:szCs w:val="32"/>
        </w:rPr>
        <w:t>截至2019年12月31日，四川省阿坝州生态保护与发展研究院（本级）共有车辆2辆，其中：主要领导干部用车0 辆、机要通信用车0辆、应急保障用车0辆、执法执勤用车0 辆、特种专业技术用车0辆、离退休干部用车0辆、其他用车2辆。单价50万元以上通用设备0台（套），单价100万元以上专用设备0台（套）。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岷江流域水生态办公室工作经费项目、自主研发项目资金项目、网络租赁费项目、电梯运行维护费项目开展了预算事前绩效评估，对4个项目编制了绩效目标，预算执行过程中，选取4个项目开展绩效监控，年终执行完毕后，对4个项目开展了绩效目标完成情况自评。</w:t>
      </w:r>
    </w:p>
    <w:p>
      <w:pPr>
        <w:widowControl/>
        <w:adjustRightInd w:val="0"/>
        <w:snapToGrid w:val="0"/>
        <w:spacing w:line="480" w:lineRule="exact"/>
        <w:ind w:firstLine="640" w:firstLineChars="200"/>
        <w:jc w:val="left"/>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sz w:val="32"/>
          <w:szCs w:val="32"/>
        </w:rPr>
        <w:t>本部门按要求对2019年部门整体支出开展绩效自评，从评价情况来看本部门较好的履行了</w:t>
      </w:r>
      <w:r>
        <w:rPr>
          <w:rFonts w:hint="eastAsia" w:ascii="仿宋_GB2312" w:hAnsi="仿宋_GB2312" w:eastAsia="仿宋_GB2312" w:cs="仿宋_GB2312"/>
          <w:color w:val="000000"/>
          <w:kern w:val="0"/>
          <w:sz w:val="32"/>
          <w:szCs w:val="32"/>
          <w:lang w:val="zh-CN"/>
        </w:rPr>
        <w:t>本单位主要职能，具体包括：</w:t>
      </w:r>
      <w:r>
        <w:rPr>
          <w:rFonts w:hint="eastAsia" w:ascii="仿宋_GB2312" w:hAnsi="仿宋_GB2312" w:eastAsia="仿宋_GB2312" w:cs="仿宋_GB2312"/>
          <w:sz w:val="32"/>
          <w:szCs w:val="32"/>
        </w:rPr>
        <w:t>一是认真贯彻执行国家、省、州有关生态保护的法律法规和方针政策；二是开展州内生态经济、生态补偿、生态治理和修复等方面的调查研究；三是加强省内外科研院所合作和交流，共同搭建生态保护与发展研究平台，开展生态环境保护、生态恢复、水土保持等业务咨询和人才培训等科技服务；四是申报和组织实施适合我州生态保护与发展的科研项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本部门还自行组织了4个项目支出绩效评价，从评价情况来看岷江流域水生态办公室工作经费项目、自主研发项目资金项目、网络租赁费项目、电梯运行维护费项目都较好的完成年度目标任务。</w:t>
      </w:r>
    </w:p>
    <w:p>
      <w:pPr>
        <w:numPr>
          <w:ilvl w:val="0"/>
          <w:numId w:val="3"/>
        </w:num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本部门在2019年度部门决算中反映“岷江流域水生态办公室工作经费项目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“自主研发项目资金项目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“网络租赁费项目”“电梯运行维护费项目”等4个项目绩效目标实际完成情况。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岷江流域水生态办公室工作经费项目绩效目标完成了岷江流域水生态综合治理常态化调研及岷江流域生态修复和保护宣传，提升了流域沿线县（市）生态文明意识。项目全年预算数10万元，执行数为8.23万元，完成预算的82.3%。通过项目实施，促进岷江流域重大生态工程修复项目顺利推进，在调研的同时还积极向流域沿线县（市）宣传了开展岷江-</w:t>
      </w:r>
      <w:r>
        <w:rPr>
          <w:rFonts w:ascii="仿宋_GB2312" w:hAnsi="仿宋_GB2312" w:eastAsia="仿宋_GB2312" w:cs="仿宋_GB2312"/>
          <w:sz w:val="32"/>
          <w:szCs w:val="32"/>
        </w:rPr>
        <w:t>大渡河上游地区重大生态修复工程，</w:t>
      </w:r>
      <w:r>
        <w:rPr>
          <w:rFonts w:hint="eastAsia" w:ascii="仿宋_GB2312" w:hAnsi="仿宋_GB2312" w:eastAsia="仿宋_GB2312" w:cs="仿宋_GB2312"/>
          <w:sz w:val="32"/>
          <w:szCs w:val="32"/>
        </w:rPr>
        <w:t>加强森林</w:t>
      </w:r>
      <w:r>
        <w:rPr>
          <w:rFonts w:ascii="仿宋_GB2312" w:hAnsi="仿宋_GB2312" w:eastAsia="仿宋_GB2312" w:cs="仿宋_GB2312"/>
          <w:sz w:val="32"/>
          <w:szCs w:val="32"/>
        </w:rPr>
        <w:t>、草原、湿地、河流</w:t>
      </w:r>
      <w:r>
        <w:rPr>
          <w:rFonts w:hint="eastAsia" w:ascii="仿宋_GB2312" w:hAnsi="仿宋_GB2312" w:eastAsia="仿宋_GB2312" w:cs="仿宋_GB2312"/>
          <w:sz w:val="32"/>
          <w:szCs w:val="32"/>
        </w:rPr>
        <w:t>等的修复</w:t>
      </w:r>
      <w:r>
        <w:rPr>
          <w:rFonts w:ascii="仿宋_GB2312" w:hAnsi="仿宋_GB2312" w:eastAsia="仿宋_GB2312" w:cs="仿宋_GB2312"/>
          <w:sz w:val="32"/>
          <w:szCs w:val="32"/>
        </w:rPr>
        <w:t>与保护，对构建青藏高原</w:t>
      </w:r>
      <w:r>
        <w:rPr>
          <w:rFonts w:hint="eastAsia" w:ascii="仿宋_GB2312" w:hAnsi="仿宋_GB2312" w:eastAsia="仿宋_GB2312" w:cs="仿宋_GB2312"/>
          <w:sz w:val="32"/>
          <w:szCs w:val="32"/>
        </w:rPr>
        <w:t>及黄土高原-川滇</w:t>
      </w:r>
      <w:r>
        <w:rPr>
          <w:rFonts w:ascii="仿宋_GB2312" w:hAnsi="仿宋_GB2312" w:eastAsia="仿宋_GB2312" w:cs="仿宋_GB2312"/>
          <w:sz w:val="32"/>
          <w:szCs w:val="32"/>
        </w:rPr>
        <w:t>生态屏障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保障长江黄河生态安全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维护生物多样性具有重要作用</w:t>
      </w:r>
      <w:r>
        <w:rPr>
          <w:rFonts w:hint="eastAsia" w:ascii="仿宋_GB2312" w:hAnsi="仿宋_GB2312" w:eastAsia="仿宋_GB2312" w:cs="仿宋_GB2312"/>
          <w:sz w:val="32"/>
          <w:szCs w:val="32"/>
        </w:rPr>
        <w:t>，确保“水安全”，改善“水环境”，恢复“水生态”，彰显“水文化”，</w:t>
      </w:r>
      <w:r>
        <w:rPr>
          <w:rFonts w:ascii="仿宋_GB2312" w:hAnsi="仿宋_GB2312" w:eastAsia="仿宋_GB2312" w:cs="仿宋_GB2312"/>
          <w:sz w:val="32"/>
          <w:szCs w:val="32"/>
        </w:rPr>
        <w:t>提升“</w:t>
      </w:r>
      <w:r>
        <w:rPr>
          <w:rFonts w:hint="eastAsia" w:ascii="仿宋_GB2312" w:hAnsi="仿宋_GB2312" w:eastAsia="仿宋_GB2312" w:cs="仿宋_GB2312"/>
          <w:sz w:val="32"/>
          <w:szCs w:val="32"/>
        </w:rPr>
        <w:t>中华水塔</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生态安全保障能力</w:t>
      </w:r>
      <w:r>
        <w:rPr>
          <w:rFonts w:hint="eastAsia" w:ascii="仿宋_GB2312" w:hAnsi="仿宋_GB2312" w:eastAsia="仿宋_GB2312" w:cs="仿宋_GB2312"/>
          <w:sz w:val="32"/>
          <w:szCs w:val="32"/>
        </w:rPr>
        <w:t>的重要意义。提高了群众主动参与建设生态文明的主人翁意识。</w:t>
      </w:r>
    </w:p>
    <w:p>
      <w:pPr>
        <w:ind w:firstLine="640" w:firstLineChars="200"/>
        <w:contextualSpacing/>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发现的主要问题：生态环境恶化</w:t>
      </w:r>
      <w:r>
        <w:rPr>
          <w:rFonts w:ascii="仿宋_GB2312" w:hAnsi="仿宋_GB2312" w:eastAsia="仿宋_GB2312" w:cs="仿宋_GB2312"/>
          <w:sz w:val="32"/>
          <w:szCs w:val="32"/>
        </w:rPr>
        <w:t>趋势</w:t>
      </w:r>
      <w:r>
        <w:rPr>
          <w:rFonts w:hint="eastAsia" w:ascii="仿宋_GB2312" w:hAnsi="仿宋_GB2312" w:eastAsia="仿宋_GB2312" w:cs="仿宋_GB2312"/>
          <w:sz w:val="32"/>
          <w:szCs w:val="32"/>
        </w:rPr>
        <w:t>尚未遏制，</w:t>
      </w:r>
      <w:r>
        <w:rPr>
          <w:rFonts w:ascii="仿宋_GB2312" w:hAnsi="仿宋_GB2312" w:eastAsia="仿宋_GB2312" w:cs="仿宋_GB2312"/>
          <w:sz w:val="32"/>
          <w:szCs w:val="32"/>
        </w:rPr>
        <w:t>生态</w:t>
      </w:r>
      <w:r>
        <w:rPr>
          <w:rFonts w:hint="eastAsia" w:ascii="仿宋_GB2312" w:hAnsi="仿宋_GB2312" w:eastAsia="仿宋_GB2312" w:cs="仿宋_GB2312"/>
          <w:sz w:val="32"/>
          <w:szCs w:val="32"/>
        </w:rPr>
        <w:t>系统</w:t>
      </w:r>
      <w:r>
        <w:rPr>
          <w:rFonts w:ascii="仿宋_GB2312" w:hAnsi="仿宋_GB2312" w:eastAsia="仿宋_GB2312" w:cs="仿宋_GB2312"/>
          <w:sz w:val="32"/>
          <w:szCs w:val="32"/>
        </w:rPr>
        <w:t>功能</w:t>
      </w:r>
      <w:r>
        <w:rPr>
          <w:rFonts w:hint="eastAsia" w:ascii="仿宋_GB2312" w:hAnsi="仿宋_GB2312" w:eastAsia="仿宋_GB2312" w:cs="仿宋_GB2312"/>
          <w:sz w:val="32"/>
          <w:szCs w:val="32"/>
        </w:rPr>
        <w:t>下降；水源涵养功能</w:t>
      </w:r>
      <w:r>
        <w:rPr>
          <w:rFonts w:ascii="仿宋_GB2312" w:hAnsi="仿宋_GB2312" w:eastAsia="仿宋_GB2312" w:cs="仿宋_GB2312"/>
          <w:sz w:val="32"/>
          <w:szCs w:val="32"/>
        </w:rPr>
        <w:t>不足</w:t>
      </w:r>
      <w:r>
        <w:rPr>
          <w:rFonts w:hint="eastAsia" w:ascii="仿宋_GB2312" w:hAnsi="仿宋_GB2312" w:eastAsia="仿宋_GB2312" w:cs="仿宋_GB2312"/>
          <w:sz w:val="32"/>
          <w:szCs w:val="32"/>
        </w:rPr>
        <w:t>，水生态</w:t>
      </w:r>
      <w:r>
        <w:rPr>
          <w:rFonts w:ascii="仿宋_GB2312" w:hAnsi="仿宋_GB2312" w:eastAsia="仿宋_GB2312" w:cs="仿宋_GB2312"/>
          <w:sz w:val="32"/>
          <w:szCs w:val="32"/>
        </w:rPr>
        <w:t>问题突出</w:t>
      </w:r>
      <w:r>
        <w:rPr>
          <w:rFonts w:hint="eastAsia" w:ascii="仿宋_GB2312" w:hAnsi="仿宋_GB2312" w:eastAsia="仿宋_GB2312" w:cs="仿宋_GB2312"/>
          <w:sz w:val="32"/>
          <w:szCs w:val="32"/>
        </w:rPr>
        <w:t xml:space="preserve"> ；自然灾害</w:t>
      </w:r>
      <w:r>
        <w:rPr>
          <w:rFonts w:ascii="仿宋_GB2312" w:hAnsi="仿宋_GB2312" w:eastAsia="仿宋_GB2312" w:cs="仿宋_GB2312"/>
          <w:sz w:val="32"/>
          <w:szCs w:val="32"/>
        </w:rPr>
        <w:t>频发，水土流失</w:t>
      </w:r>
      <w:r>
        <w:rPr>
          <w:rFonts w:hint="eastAsia" w:ascii="仿宋_GB2312" w:hAnsi="仿宋_GB2312" w:eastAsia="仿宋_GB2312" w:cs="仿宋_GB2312"/>
          <w:sz w:val="32"/>
          <w:szCs w:val="32"/>
        </w:rPr>
        <w:t>严重；产业结构不合理，经济与环境融合发展不足；环保体制</w:t>
      </w:r>
      <w:r>
        <w:rPr>
          <w:rFonts w:ascii="仿宋_GB2312" w:hAnsi="仿宋_GB2312" w:eastAsia="仿宋_GB2312" w:cs="仿宋_GB2312"/>
          <w:sz w:val="32"/>
          <w:szCs w:val="32"/>
        </w:rPr>
        <w:t>机制不健全，</w:t>
      </w:r>
      <w:r>
        <w:rPr>
          <w:rFonts w:hint="eastAsia" w:ascii="仿宋_GB2312" w:hAnsi="仿宋_GB2312" w:eastAsia="仿宋_GB2312" w:cs="仿宋_GB2312"/>
          <w:sz w:val="32"/>
          <w:szCs w:val="32"/>
        </w:rPr>
        <w:t>环境监管手段落后。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下一步改进措施：切实借助现有平台积极向国家、省争取相应资金，持续努力推进《岷江-大渡河上游地区重大生态修复工程总体规划（2016-2035年）》中项目落实、落地。</w:t>
      </w:r>
    </w:p>
    <w:p>
      <w:pPr>
        <w:numPr>
          <w:ilvl w:val="0"/>
          <w:numId w:val="4"/>
        </w:num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sz w:val="32"/>
          <w:szCs w:val="32"/>
        </w:rPr>
        <w:t>自主研发资金项目绩效目标带动乡村脱贫，提高科技人员能力。项目全年预算数10万元，执行数为8.11万元，完成预算的81.1%。通过项目实施，</w:t>
      </w:r>
      <w:r>
        <w:rPr>
          <w:rFonts w:hint="eastAsia" w:ascii="仿宋" w:hAnsi="仿宋" w:eastAsia="仿宋" w:cs="仿宋"/>
          <w:color w:val="000000" w:themeColor="text1"/>
          <w:sz w:val="32"/>
          <w:szCs w:val="32"/>
        </w:rPr>
        <w:t>保障了单位科研项目研究，支持“</w:t>
      </w:r>
      <w:r>
        <w:rPr>
          <w:rFonts w:hint="eastAsia" w:ascii="仿宋" w:hAnsi="仿宋" w:eastAsia="仿宋" w:cs="仿宋"/>
          <w:color w:val="000000"/>
          <w:sz w:val="32"/>
          <w:szCs w:val="32"/>
        </w:rPr>
        <w:t>高原藏区现代健康种养殖新模式对新技术和模式”的展示，推动加快贫困地区现代农牧业转型升级，带动乡村脱贫，</w:t>
      </w:r>
      <w:r>
        <w:rPr>
          <w:rFonts w:hint="eastAsia" w:ascii="仿宋" w:hAnsi="仿宋" w:eastAsia="仿宋" w:cs="仿宋"/>
          <w:color w:val="000000" w:themeColor="text1"/>
          <w:sz w:val="32"/>
          <w:szCs w:val="32"/>
        </w:rPr>
        <w:t>促进了专业技术、管理、开发人才知识更新技能培养，有效提高人才队伍素质。</w:t>
      </w:r>
    </w:p>
    <w:p>
      <w:pPr>
        <w:spacing w:line="58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发现的主要问题：</w:t>
      </w:r>
      <w:r>
        <w:rPr>
          <w:rFonts w:hint="eastAsia" w:ascii="仿宋" w:hAnsi="仿宋" w:eastAsia="仿宋" w:cs="仿宋"/>
          <w:color w:val="111111"/>
          <w:sz w:val="32"/>
          <w:szCs w:val="32"/>
          <w:shd w:val="clear" w:color="auto" w:fill="FFFFFF"/>
        </w:rPr>
        <w:t>制定或不够细化，预算与决算存在一定偏差，</w:t>
      </w:r>
      <w:r>
        <w:rPr>
          <w:rFonts w:hint="eastAsia" w:ascii="仿宋" w:hAnsi="仿宋" w:eastAsia="仿宋" w:cs="仿宋"/>
          <w:sz w:val="32"/>
          <w:szCs w:val="32"/>
        </w:rPr>
        <w:t>下一步改进措施：进一步加强预决算管理。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网络租赁费项目绩效目标保障全年网路正常运行。项目全年预算数3.6万元，执行数为3.6万元，完成预算的100%。通过项目实施，保障了公文交换的时效性，本地信息网正常运行，正常提供服务；未受网外攻击，未出现计算机病毒、非法存取、拒绝服务、网络资源非法占用和非法控制等威胁，发现的主要问题：对网络安全知识掌握的不够。下一步改进措施：加强各办公室人员的网络安全知识学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电梯运行维护费项目绩效目标保障电梯正常运转运行。项目全年预算数3万元，执行数为2.16万元，完成预算的72%。通过项目实施，保障了电梯运行的安全，提高了乘坐人员的工作效率；做好了电梯的保养工作,无隐患梯,电梯的年检通过率达到了100%。发现的主要问题：乘客对乘坐电梯的安全意识不高。下一步改进措施：加大对电梯使用安全的宣传、在轿厢内粘贴安全使用电梯的说明等标语标识。</w:t>
      </w:r>
    </w:p>
    <w:tbl>
      <w:tblPr>
        <w:tblStyle w:val="12"/>
        <w:tblpPr w:leftFromText="180" w:rightFromText="180" w:vertAnchor="text" w:horzAnchor="page" w:tblpXSpec="center" w:tblpY="-12624"/>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岷江流域水生态办公室工作经费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阿坝州生态保护与发展研究院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8.23</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8.23</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高端技术人才科研团队与企业合作完成技术创新、新产品、新配方等。</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完成了岷江流域水生态综合治理常态化调研及岷江流域生态修复和保护宣传，提升了流域沿线县（市）生态文明意识。</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工作质量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365天正常运转工作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365天正常运转工作</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可持续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促进水生态工作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促进水生态工作</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p>
            <w:pPr>
              <w:widowControl/>
              <w:jc w:val="left"/>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工作效益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提高工作效益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提高工作效益</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自主研发资金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阿坝州生态保护与发展研究院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8.11</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8.11</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带动乡村脱贫，提高科技人员能力。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带动乡村脱贫，提高科技人员能力。</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差旅费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按照差旅费标准执行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全年产生差旅费1.01万元。</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书本数量购置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200-300本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31本</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2019年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出版要求</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正规出版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正规出版</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书本成本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市场平均价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110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带动脱贫效益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带动农民脱贫</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带动农民脱贫</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专业技术人员效益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有助于专业技术人员及时了解新技术</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有助于增加专业技术的能力水平</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农户满意度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≥85%</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网络租赁费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阿坝州生态保护与发展研究院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3.6</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3.6</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3.6</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3.6</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保障全年网路正常运行。</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全年网路正常运行。</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使用办公室数量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8</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11</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保障运行时效</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365天</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365天</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网络使用人满意度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电梯运行维护费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阿坝州生态保护与发展研究院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2.16</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2.16</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保障电梯正常运转运行</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全年运行正常。</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保障运行时效</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1年</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1年</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年检次数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12</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维护成本</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年维护不超过30000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2.16万元</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运行质量标准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100%运行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100%运行</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可持续性效益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工作时效</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保障365天都正常使用</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365天正常使用。</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本部门按要求对2019年部门整体支出绩效评价情况开展自评，《阿坝州生态保护与发展研究院部门2019年部门整体支出绩效评价报告》。</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0" w:firstLineChars="150"/>
        <w:jc w:val="center"/>
        <w:outlineLvl w:val="0"/>
        <w:rPr>
          <w:rStyle w:val="24"/>
          <w:rFonts w:ascii="黑体" w:hAnsi="黑体" w:eastAsia="黑体"/>
          <w:b w:val="0"/>
        </w:rPr>
      </w:pPr>
      <w:bookmarkStart w:id="69" w:name="_Toc10625"/>
      <w:bookmarkStart w:id="70" w:name="_Toc15377225"/>
      <w:bookmarkStart w:id="71" w:name="_Toc15396613"/>
      <w:r>
        <w:rPr>
          <w:rFonts w:hint="eastAsia" w:ascii="黑体" w:hAnsi="黑体" w:eastAsia="黑体"/>
          <w:color w:val="000000"/>
          <w:sz w:val="44"/>
          <w:szCs w:val="44"/>
        </w:rPr>
        <w:t>名</w:t>
      </w:r>
      <w:r>
        <w:rPr>
          <w:rStyle w:val="24"/>
          <w:rFonts w:hint="eastAsia" w:ascii="黑体" w:hAnsi="黑体" w:eastAsia="黑体"/>
          <w:b w:val="0"/>
        </w:rPr>
        <w:t>词解释</w:t>
      </w:r>
      <w:bookmarkEnd w:id="69"/>
      <w:bookmarkEnd w:id="70"/>
      <w:bookmarkEnd w:id="71"/>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hint="eastAsia" w:ascii="仿宋_GB2312" w:eastAsia="仿宋_GB2312"/>
          <w:sz w:val="32"/>
          <w:szCs w:val="32"/>
          <w:lang w:val="en-US" w:eastAsia="zh-CN"/>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r>
        <w:rPr>
          <w:rFonts w:hint="eastAsia" w:ascii="仿宋_GB2312" w:eastAsia="仿宋_GB2312"/>
          <w:sz w:val="32"/>
          <w:szCs w:val="32"/>
          <w:lang w:eastAsia="zh-CN"/>
        </w:rPr>
        <w:t>。</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其他收入：指单位取得的除上述收入以外的各项收入。主要是科技项目主管部门下拨的科研项目经费。</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科学技术（类）应用研究（款）机构运行（项）：</w:t>
      </w:r>
      <w:r>
        <w:rPr>
          <w:rFonts w:hint="eastAsia" w:ascii="仿宋_GB2312" w:eastAsia="仿宋_GB2312"/>
          <w:sz w:val="32"/>
          <w:szCs w:val="32"/>
        </w:rPr>
        <w:t>指</w:t>
      </w:r>
      <w:r>
        <w:rPr>
          <w:rFonts w:hint="eastAsia" w:ascii="仿宋_GB2312" w:eastAsia="仿宋_GB2312"/>
          <w:color w:val="000000"/>
          <w:sz w:val="32"/>
          <w:szCs w:val="32"/>
        </w:rPr>
        <w:t>反映应用研究机构的基本支出。</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科学技术（类）应用研究（款）社会公益研究（项）：</w:t>
      </w:r>
      <w:r>
        <w:rPr>
          <w:rFonts w:hint="eastAsia" w:ascii="仿宋_GB2312" w:eastAsia="仿宋_GB2312"/>
          <w:sz w:val="32"/>
          <w:szCs w:val="32"/>
        </w:rPr>
        <w:t>指</w:t>
      </w:r>
      <w:r>
        <w:rPr>
          <w:rFonts w:hint="eastAsia" w:ascii="仿宋_GB2312" w:eastAsia="仿宋_GB2312"/>
          <w:color w:val="000000"/>
          <w:sz w:val="32"/>
          <w:szCs w:val="32"/>
        </w:rPr>
        <w:t>反映从事卫生、劳动保护、计划生育、环境科学、农业等社会公益专项科研方面的支出。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科学技术（类）技术研究与开发（款）应用技术研究与开发：</w:t>
      </w:r>
      <w:r>
        <w:rPr>
          <w:rFonts w:hint="eastAsia" w:ascii="仿宋_GB2312" w:eastAsia="仿宋_GB2312"/>
          <w:sz w:val="32"/>
          <w:szCs w:val="32"/>
        </w:rPr>
        <w:t>指</w:t>
      </w:r>
      <w:r>
        <w:rPr>
          <w:rFonts w:hint="eastAsia" w:ascii="仿宋_GB2312" w:eastAsia="仿宋_GB2312"/>
          <w:color w:val="000000"/>
          <w:sz w:val="32"/>
          <w:szCs w:val="32"/>
        </w:rPr>
        <w:t>反映从事技术开发研究和近期可望取得实用价值的专项技术开发研究的支出。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科学技术技术（类）研究与开发（款）科技成果转化与扩散（项）：</w:t>
      </w:r>
      <w:r>
        <w:rPr>
          <w:rFonts w:hint="eastAsia" w:ascii="仿宋_GB2312" w:eastAsia="仿宋_GB2312"/>
          <w:sz w:val="32"/>
          <w:szCs w:val="32"/>
        </w:rPr>
        <w:t>指</w:t>
      </w:r>
      <w:r>
        <w:rPr>
          <w:rFonts w:hint="eastAsia" w:ascii="仿宋_GB2312" w:eastAsia="仿宋_GB2312"/>
          <w:color w:val="000000"/>
          <w:sz w:val="32"/>
          <w:szCs w:val="32"/>
        </w:rPr>
        <w:t>反映促进科技成果转化为现实生产力的应用、推广和引导性支出，以及基本建设支出中用于支持企业科技自主创新的支出。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13.科学技术（类）其他科学技术研究（款）其他科学技术研究（项）：</w:t>
      </w:r>
      <w:r>
        <w:rPr>
          <w:rFonts w:hint="eastAsia" w:ascii="仿宋_GB2312" w:eastAsia="仿宋_GB2312"/>
          <w:sz w:val="32"/>
          <w:szCs w:val="32"/>
        </w:rPr>
        <w:t>指</w:t>
      </w:r>
      <w:r>
        <w:rPr>
          <w:rFonts w:hint="eastAsia" w:ascii="仿宋_GB2312" w:eastAsia="仿宋_GB2312"/>
          <w:color w:val="000000"/>
          <w:sz w:val="32"/>
          <w:szCs w:val="32"/>
        </w:rPr>
        <w:t>反映其他科学技术支出中除以上各项外用于科技方面的支出。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4</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社会保障和就业（类）行政事业单位离退休（款）机关事业单位基本养老保险缴费支出（项）：指反映各级财政部门对机关事业单位基本养老保险基金收老保险基金的补助支缺口的补助。</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5</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社会保障和就业（类）行政事业单位离退休（款）机关事业单位职业年金缴费支出（项）：指反映机关事业单位实施养老保险制度由单位实际缴纳的缴费支出职业年金支出。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6</w:t>
      </w:r>
      <w:r>
        <w:rPr>
          <w:rFonts w:ascii="仿宋_GB2312" w:eastAsia="仿宋_GB2312"/>
          <w:color w:val="000000"/>
          <w:sz w:val="32"/>
          <w:szCs w:val="32"/>
        </w:rPr>
        <w:t>.</w:t>
      </w:r>
      <w:r>
        <w:rPr>
          <w:rFonts w:hint="eastAsia" w:ascii="仿宋_GB2312" w:eastAsia="仿宋_GB2312"/>
          <w:color w:val="000000"/>
          <w:sz w:val="32"/>
          <w:szCs w:val="32"/>
        </w:rPr>
        <w:t>卫生健康支出（类）行政事业单位医疗（款）事业单位医疗（项）：指反映财政部门集中安排的事业单位基本医疗保险缴费经费，未参加医疗保险的事业单位的公费医疗经费，按国家规定享受离休人员待遇的医疗经费。</w:t>
      </w:r>
    </w:p>
    <w:p>
      <w:pPr>
        <w:ind w:firstLine="640" w:firstLineChars="200"/>
        <w:rPr>
          <w:rFonts w:ascii="仿宋_GB2312" w:eastAsia="仿宋_GB2312"/>
          <w:sz w:val="32"/>
          <w:szCs w:val="32"/>
        </w:rPr>
      </w:pPr>
      <w:r>
        <w:rPr>
          <w:rFonts w:ascii="仿宋_GB2312" w:eastAsia="仿宋_GB2312"/>
          <w:color w:val="000000"/>
          <w:sz w:val="32"/>
          <w:szCs w:val="32"/>
        </w:rPr>
        <w:t>1</w:t>
      </w:r>
      <w:r>
        <w:rPr>
          <w:rFonts w:hint="eastAsia" w:ascii="仿宋_GB2312" w:eastAsia="仿宋_GB2312"/>
          <w:color w:val="000000"/>
          <w:sz w:val="32"/>
          <w:szCs w:val="32"/>
        </w:rPr>
        <w:t>7</w:t>
      </w:r>
      <w:r>
        <w:rPr>
          <w:rFonts w:ascii="仿宋_GB2312" w:eastAsia="仿宋_GB2312"/>
          <w:color w:val="000000"/>
          <w:sz w:val="32"/>
          <w:szCs w:val="32"/>
        </w:rPr>
        <w:t>.</w:t>
      </w:r>
      <w:r>
        <w:rPr>
          <w:rFonts w:hint="eastAsia" w:ascii="仿宋_GB2312" w:eastAsia="仿宋_GB2312"/>
          <w:color w:val="000000"/>
          <w:sz w:val="32"/>
          <w:szCs w:val="32"/>
        </w:rPr>
        <w:t>卫生健康支出（类）行政事业单位医疗（款）其他行政事业单位医疗（项）：</w:t>
      </w:r>
      <w:r>
        <w:rPr>
          <w:rFonts w:hint="eastAsia" w:ascii="仿宋_GB2312" w:eastAsia="仿宋_GB2312"/>
          <w:sz w:val="32"/>
          <w:szCs w:val="32"/>
        </w:rPr>
        <w:t>指反映除上述项目以外的其他用于行政事业单位医疗方面的支出。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18</w:t>
      </w:r>
      <w:r>
        <w:rPr>
          <w:rFonts w:ascii="仿宋_GB2312" w:eastAsia="仿宋_GB2312"/>
          <w:color w:val="000000"/>
          <w:sz w:val="32"/>
          <w:szCs w:val="32"/>
        </w:rPr>
        <w:t>.</w:t>
      </w:r>
      <w:r>
        <w:rPr>
          <w:rFonts w:hint="eastAsia" w:ascii="仿宋_GB2312" w:eastAsia="仿宋_GB2312"/>
          <w:color w:val="000000"/>
          <w:sz w:val="32"/>
          <w:szCs w:val="32"/>
        </w:rPr>
        <w:t>住房保障（类）住房改革支出（款）住房公积金（项）：指反映行政事业单位按人力资源和社会保障部、财政部规定的基本工资和津贴补贴以及规定比例为职工缴纳的住房公积金。</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（上述</w:t>
      </w:r>
      <w:r>
        <w:rPr>
          <w:rFonts w:ascii="仿宋" w:hAnsi="仿宋" w:eastAsia="仿宋"/>
          <w:b/>
          <w:color w:val="000000"/>
          <w:sz w:val="32"/>
          <w:szCs w:val="32"/>
        </w:rPr>
        <w:t>9-</w:t>
      </w:r>
      <w:r>
        <w:rPr>
          <w:rFonts w:hint="eastAsia" w:ascii="仿宋" w:hAnsi="仿宋" w:eastAsia="仿宋"/>
          <w:b/>
          <w:color w:val="000000"/>
          <w:sz w:val="32"/>
          <w:szCs w:val="32"/>
        </w:rPr>
        <w:t>18条名词解释参照《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9年政府收支分类科目》书列示。）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22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23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cs="黑体"/>
          <w:sz w:val="32"/>
          <w:szCs w:val="32"/>
        </w:rPr>
      </w:pPr>
    </w:p>
    <w:p>
      <w:pPr>
        <w:spacing w:line="600" w:lineRule="exact"/>
        <w:jc w:val="center"/>
        <w:outlineLvl w:val="0"/>
        <w:rPr>
          <w:rStyle w:val="24"/>
          <w:rFonts w:ascii="黑体" w:hAnsi="黑体" w:eastAsia="黑体"/>
          <w:b w:val="0"/>
        </w:rPr>
      </w:pPr>
      <w:bookmarkStart w:id="72" w:name="_Toc15377226"/>
      <w:r>
        <w:rPr>
          <w:rFonts w:ascii="宋体"/>
          <w:b/>
          <w:color w:val="000000"/>
          <w:sz w:val="44"/>
          <w:szCs w:val="44"/>
        </w:rPr>
        <w:br w:type="page"/>
      </w:r>
      <w:bookmarkStart w:id="73" w:name="_Toc15446"/>
      <w:bookmarkStart w:id="74"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73"/>
      <w:bookmarkEnd w:id="74"/>
    </w:p>
    <w:p>
      <w:pPr>
        <w:pStyle w:val="3"/>
        <w:rPr>
          <w:rFonts w:ascii="黑体" w:hAnsi="黑体" w:eastAsia="黑体"/>
          <w:b w:val="0"/>
          <w:color w:val="000000"/>
        </w:rPr>
      </w:pPr>
      <w:bookmarkStart w:id="75" w:name="_Toc19341"/>
      <w:r>
        <w:rPr>
          <w:rFonts w:hint="eastAsia" w:ascii="黑体" w:hAnsi="黑体" w:eastAsia="黑体"/>
          <w:b w:val="0"/>
          <w:color w:val="000000"/>
        </w:rPr>
        <w:t>附件1</w:t>
      </w:r>
      <w:bookmarkEnd w:id="75"/>
    </w:p>
    <w:p>
      <w:pPr>
        <w:widowControl/>
        <w:spacing w:line="48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阿坝州生态保护与发展研究院</w:t>
      </w:r>
    </w:p>
    <w:p>
      <w:pPr>
        <w:widowControl/>
        <w:spacing w:line="480" w:lineRule="exact"/>
        <w:jc w:val="center"/>
        <w:rPr>
          <w:rFonts w:ascii="方正小标宋简体" w:hAnsi="宋体" w:eastAsia="方正小标宋简体"/>
          <w:sz w:val="44"/>
          <w:szCs w:val="44"/>
        </w:rPr>
      </w:pPr>
      <w:r>
        <w:rPr>
          <w:rFonts w:ascii="方正小标宋简体" w:hAnsi="宋体" w:eastAsia="方正小标宋简体"/>
          <w:sz w:val="44"/>
          <w:szCs w:val="44"/>
        </w:rPr>
        <w:t>20</w:t>
      </w:r>
      <w:r>
        <w:rPr>
          <w:rFonts w:hint="eastAsia" w:ascii="方正小标宋简体" w:hAnsi="宋体" w:eastAsia="方正小标宋简体"/>
          <w:sz w:val="44"/>
          <w:szCs w:val="44"/>
        </w:rPr>
        <w:t>20年部门整体支出绩效报告</w:t>
      </w:r>
    </w:p>
    <w:p>
      <w:pPr>
        <w:widowControl/>
        <w:adjustRightInd w:val="0"/>
        <w:snapToGrid w:val="0"/>
        <w:spacing w:line="480" w:lineRule="exact"/>
        <w:ind w:firstLine="720"/>
        <w:jc w:val="left"/>
        <w:rPr>
          <w:rFonts w:hint="eastAsia" w:ascii="黑体" w:hAnsi="宋体" w:eastAsia="黑体" w:cs="宋体"/>
          <w:color w:val="000000"/>
          <w:kern w:val="0"/>
        </w:rPr>
      </w:pPr>
    </w:p>
    <w:p>
      <w:pPr>
        <w:widowControl/>
        <w:adjustRightInd w:val="0"/>
        <w:snapToGrid w:val="0"/>
        <w:spacing w:line="480" w:lineRule="exact"/>
        <w:ind w:firstLine="720"/>
        <w:jc w:val="left"/>
        <w:rPr>
          <w:rFonts w:hint="eastAsia" w:ascii="黑体" w:hAnsi="宋体" w:eastAsia="黑体" w:cs="宋体"/>
          <w:color w:val="000000"/>
          <w:kern w:val="0"/>
          <w:sz w:val="32"/>
          <w:szCs w:val="32"/>
          <w:lang w:val="zh-CN"/>
        </w:rPr>
      </w:pPr>
      <w:r>
        <w:rPr>
          <w:rFonts w:hint="eastAsia" w:ascii="黑体" w:hAnsi="宋体" w:eastAsia="黑体" w:cs="宋体"/>
          <w:color w:val="000000"/>
          <w:kern w:val="0"/>
          <w:sz w:val="32"/>
          <w:szCs w:val="32"/>
          <w:lang w:val="zh-CN"/>
        </w:rPr>
        <w:t>一、部门（单位）概况</w:t>
      </w:r>
    </w:p>
    <w:p>
      <w:pPr>
        <w:widowControl/>
        <w:adjustRightInd w:val="0"/>
        <w:snapToGrid w:val="0"/>
        <w:spacing w:line="480" w:lineRule="exact"/>
        <w:ind w:firstLine="720"/>
        <w:jc w:val="left"/>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（一）机构组成</w:t>
      </w:r>
    </w:p>
    <w:p>
      <w:pPr>
        <w:widowControl/>
        <w:adjustRightInd w:val="0"/>
        <w:snapToGrid w:val="0"/>
        <w:spacing w:line="480" w:lineRule="exact"/>
        <w:ind w:firstLine="640" w:firstLineChars="200"/>
        <w:jc w:val="left"/>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sz w:val="32"/>
          <w:szCs w:val="32"/>
        </w:rPr>
        <w:t>阿坝州生态保护与发展研究院组建于2017年10月，为阿坝州科技局管理的正县级公益一类事业单位，设办公室、生态科、项目推进科、科技信息服务科、人事财务科5个内设机构。核定编制20名，其中院长1名，副院长2名，科级5名，副科级5名，工勤5名。</w:t>
      </w:r>
    </w:p>
    <w:p>
      <w:pPr>
        <w:widowControl/>
        <w:numPr>
          <w:ilvl w:val="0"/>
          <w:numId w:val="6"/>
        </w:numPr>
        <w:adjustRightInd w:val="0"/>
        <w:snapToGrid w:val="0"/>
        <w:spacing w:line="480" w:lineRule="exact"/>
        <w:ind w:firstLine="720"/>
        <w:jc w:val="left"/>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机构职能</w:t>
      </w:r>
    </w:p>
    <w:p>
      <w:pPr>
        <w:widowControl/>
        <w:adjustRightInd w:val="0"/>
        <w:snapToGrid w:val="0"/>
        <w:spacing w:line="480" w:lineRule="exact"/>
        <w:ind w:firstLine="640" w:firstLineChars="200"/>
        <w:jc w:val="left"/>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本单位主要职能：</w:t>
      </w:r>
      <w:r>
        <w:rPr>
          <w:rFonts w:hint="eastAsia" w:ascii="仿宋_GB2312" w:hAnsi="仿宋_GB2312" w:eastAsia="仿宋_GB2312" w:cs="仿宋_GB2312"/>
          <w:sz w:val="32"/>
          <w:szCs w:val="32"/>
        </w:rPr>
        <w:t>一是认真贯彻执行国家、省、州有关生态保护的法律法规和方针政策；二是开展州内生态经济、生态补偿、生态治理和修复等方面的调查研究；三是加强省内外科研院所合作和交流，共同搭建生态保护与发展研究平台，开展生态环境保护、生态恢复、水土保持等业务咨询和人才培训等科技服务；四是申报和组织实施适合我州生态保护与发展的科研项目。</w:t>
      </w:r>
    </w:p>
    <w:p>
      <w:pPr>
        <w:widowControl/>
        <w:numPr>
          <w:ilvl w:val="0"/>
          <w:numId w:val="6"/>
        </w:numPr>
        <w:adjustRightInd w:val="0"/>
        <w:snapToGrid w:val="0"/>
        <w:spacing w:line="480" w:lineRule="exact"/>
        <w:ind w:firstLine="720"/>
        <w:jc w:val="left"/>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人员概况</w:t>
      </w:r>
    </w:p>
    <w:p>
      <w:pPr>
        <w:snapToGrid w:val="0"/>
        <w:spacing w:line="520" w:lineRule="exact"/>
        <w:ind w:firstLine="640" w:firstLineChars="200"/>
        <w:rPr>
          <w:rFonts w:hint="eastAsia" w:ascii="仿宋_GB2312" w:hAnsi="仿宋"/>
          <w:lang w:val="zh-CN"/>
        </w:rPr>
      </w:pPr>
      <w:r>
        <w:rPr>
          <w:rFonts w:hint="eastAsia" w:ascii="仿宋_GB2312" w:hAnsi="仿宋_GB2312" w:eastAsia="仿宋_GB2312" w:cs="仿宋_GB2312"/>
          <w:color w:val="000000"/>
          <w:kern w:val="0"/>
          <w:sz w:val="32"/>
          <w:szCs w:val="32"/>
        </w:rPr>
        <w:t>截止20</w:t>
      </w:r>
      <w:r>
        <w:rPr>
          <w:rFonts w:hint="eastAsia" w:ascii="仿宋_GB2312" w:hAnsi="仿宋_GB2312" w:eastAsia="仿宋_GB2312" w:cs="仿宋_GB2312"/>
          <w:color w:val="000000"/>
          <w:kern w:val="0"/>
          <w:sz w:val="32"/>
          <w:szCs w:val="32"/>
          <w:lang w:val="en-US" w:eastAsia="zh-CN"/>
        </w:rPr>
        <w:t>19</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12</w:t>
      </w:r>
      <w:r>
        <w:rPr>
          <w:rFonts w:hint="eastAsia" w:ascii="仿宋_GB2312" w:hAnsi="仿宋_GB2312" w:eastAsia="仿宋_GB2312" w:cs="仿宋_GB2312"/>
          <w:color w:val="000000"/>
          <w:kern w:val="0"/>
          <w:sz w:val="32"/>
          <w:szCs w:val="32"/>
        </w:rPr>
        <w:t>月3</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日本</w:t>
      </w:r>
      <w:r>
        <w:rPr>
          <w:rFonts w:hint="eastAsia" w:ascii="仿宋_GB2312" w:hAnsi="仿宋_GB2312" w:eastAsia="仿宋_GB2312" w:cs="仿宋_GB2312"/>
          <w:color w:val="000000"/>
          <w:kern w:val="0"/>
          <w:sz w:val="32"/>
          <w:szCs w:val="32"/>
          <w:lang w:eastAsia="zh-CN"/>
        </w:rPr>
        <w:t>院</w:t>
      </w:r>
      <w:r>
        <w:rPr>
          <w:rFonts w:hint="eastAsia" w:ascii="仿宋_GB2312" w:hAnsi="仿宋_GB2312" w:eastAsia="仿宋_GB2312" w:cs="仿宋_GB2312"/>
          <w:color w:val="000000"/>
          <w:kern w:val="0"/>
          <w:sz w:val="32"/>
          <w:szCs w:val="32"/>
        </w:rPr>
        <w:t>在职人员共16人，</w:t>
      </w:r>
      <w:r>
        <w:rPr>
          <w:rFonts w:hint="eastAsia" w:ascii="仿宋_GB2312" w:hAnsi="仿宋_GB2312" w:eastAsia="仿宋_GB2312" w:cs="仿宋_GB2312"/>
          <w:sz w:val="32"/>
          <w:szCs w:val="32"/>
        </w:rPr>
        <w:t>其中管理人员2人（院长1名、副院长1名，），科技人员9人（副高4人，中级4人，初级1人），工勤5人。退休人员5人。</w:t>
      </w:r>
    </w:p>
    <w:p>
      <w:pPr>
        <w:widowControl/>
        <w:adjustRightInd w:val="0"/>
        <w:snapToGrid w:val="0"/>
        <w:spacing w:line="480" w:lineRule="exact"/>
        <w:ind w:firstLine="720"/>
        <w:jc w:val="left"/>
        <w:rPr>
          <w:rFonts w:hint="eastAsia" w:ascii="黑体" w:hAnsi="宋体" w:eastAsia="黑体" w:cs="宋体"/>
          <w:color w:val="000000"/>
          <w:kern w:val="0"/>
          <w:sz w:val="32"/>
          <w:szCs w:val="32"/>
          <w:lang w:val="zh-CN"/>
        </w:rPr>
      </w:pPr>
      <w:r>
        <w:rPr>
          <w:rFonts w:hint="eastAsia" w:ascii="黑体" w:hAnsi="宋体" w:eastAsia="黑体" w:cs="宋体"/>
          <w:color w:val="000000"/>
          <w:kern w:val="0"/>
          <w:sz w:val="32"/>
          <w:szCs w:val="32"/>
          <w:lang w:val="zh-CN"/>
        </w:rPr>
        <w:t>二、部门财政资金收支情况</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（一）部门财政资金收入情况</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2019年财政资金收入</w:t>
      </w:r>
      <w:r>
        <w:rPr>
          <w:rFonts w:ascii="宋体" w:hAnsi="宋体" w:eastAsia="宋体" w:cs="宋体"/>
          <w:sz w:val="32"/>
          <w:szCs w:val="32"/>
        </w:rPr>
        <w:t>361.50</w:t>
      </w:r>
      <w:r>
        <w:rPr>
          <w:rFonts w:hint="eastAsia" w:ascii="仿宋_GB2312" w:hAnsi="仿宋_GB2312" w:eastAsia="仿宋_GB2312" w:cs="仿宋_GB2312"/>
          <w:sz w:val="32"/>
          <w:szCs w:val="32"/>
        </w:rPr>
        <w:t>万元。</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eastAsia="zh-CN"/>
        </w:rPr>
        <w:t>二</w:t>
      </w:r>
      <w:r>
        <w:rPr>
          <w:rFonts w:hint="eastAsia" w:ascii="仿宋_GB2312" w:hAnsi="仿宋_GB2312" w:eastAsia="仿宋_GB2312" w:cs="仿宋_GB2312"/>
          <w:sz w:val="32"/>
          <w:szCs w:val="32"/>
          <w:lang w:val="zh-CN"/>
        </w:rPr>
        <w:t>）部门财政资金支出情况</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2019年财政资金支出</w:t>
      </w:r>
      <w:r>
        <w:rPr>
          <w:rFonts w:ascii="宋体" w:hAnsi="宋体" w:eastAsia="宋体" w:cs="宋体"/>
          <w:sz w:val="32"/>
          <w:szCs w:val="32"/>
        </w:rPr>
        <w:t>494.83</w:t>
      </w:r>
      <w:r>
        <w:rPr>
          <w:rFonts w:hint="eastAsia" w:ascii="仿宋_GB2312" w:hAnsi="仿宋_GB2312" w:eastAsia="仿宋_GB2312" w:cs="仿宋_GB2312"/>
          <w:sz w:val="32"/>
          <w:szCs w:val="32"/>
        </w:rPr>
        <w:t>万元。</w:t>
      </w:r>
    </w:p>
    <w:p>
      <w:pPr>
        <w:widowControl/>
        <w:adjustRightInd w:val="0"/>
        <w:snapToGrid w:val="0"/>
        <w:spacing w:line="480" w:lineRule="exact"/>
        <w:ind w:firstLine="720"/>
        <w:jc w:val="left"/>
        <w:rPr>
          <w:rFonts w:hint="eastAsia" w:ascii="黑体" w:hAnsi="宋体" w:eastAsia="黑体" w:cs="宋体"/>
          <w:color w:val="000000"/>
          <w:kern w:val="0"/>
          <w:sz w:val="32"/>
          <w:szCs w:val="32"/>
          <w:lang w:val="zh-CN"/>
        </w:rPr>
      </w:pPr>
      <w:r>
        <w:rPr>
          <w:rFonts w:hint="eastAsia" w:ascii="黑体" w:hAnsi="宋体" w:eastAsia="黑体" w:cs="宋体"/>
          <w:color w:val="000000"/>
          <w:kern w:val="0"/>
          <w:sz w:val="32"/>
          <w:szCs w:val="32"/>
          <w:lang w:val="zh-CN"/>
        </w:rPr>
        <w:t>三、部门财政支出管理情况</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（一）预算编</w:t>
      </w:r>
      <w:bookmarkStart w:id="104" w:name="_GoBack"/>
      <w:bookmarkEnd w:id="104"/>
      <w:r>
        <w:rPr>
          <w:rFonts w:hint="eastAsia" w:ascii="仿宋_GB2312" w:hAnsi="仿宋_GB2312" w:eastAsia="仿宋_GB2312" w:cs="仿宋_GB2312"/>
          <w:sz w:val="32"/>
          <w:szCs w:val="32"/>
          <w:lang w:val="zh-CN"/>
        </w:rPr>
        <w:t>制情况</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根据《预算法》和2019年州级部门预算编制通知等法律和文件的规定，本单位按照2019年部门预算编制重点，结合本部门工作实际，及时更新预算编制基础信息，细化项目绩效目标，准确编制部门预算。</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（二）执行管理情况</w:t>
      </w:r>
      <w:r>
        <w:rPr>
          <w:rFonts w:hint="eastAsia" w:ascii="仿宋_GB2312" w:hAnsi="仿宋_GB2312" w:eastAsia="仿宋_GB2312" w:cs="仿宋_GB2312"/>
          <w:sz w:val="32"/>
          <w:szCs w:val="32"/>
          <w:lang w:val="zh-CN"/>
        </w:rPr>
        <w:tab/>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本单位根据《预算法》的规定，严格进行预算执行管理。201</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zh-CN"/>
        </w:rPr>
        <w:t>年全年预算执行率为</w:t>
      </w:r>
      <w:r>
        <w:rPr>
          <w:rFonts w:hint="eastAsia" w:ascii="仿宋_GB2312" w:hAnsi="仿宋_GB2312" w:eastAsia="仿宋_GB2312" w:cs="仿宋_GB2312"/>
          <w:sz w:val="32"/>
          <w:szCs w:val="32"/>
        </w:rPr>
        <w:t>94.02</w:t>
      </w:r>
      <w:r>
        <w:rPr>
          <w:rFonts w:hint="eastAsia" w:ascii="仿宋_GB2312" w:hAnsi="仿宋_GB2312" w:eastAsia="仿宋_GB2312" w:cs="仿宋_GB2312"/>
          <w:sz w:val="32"/>
          <w:szCs w:val="32"/>
          <w:lang w:val="zh-CN"/>
        </w:rPr>
        <w:t>%。</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同时，本单位严格执行“三公经费”预算，无超预算的情况。详细情况见下表：</w:t>
      </w:r>
    </w:p>
    <w:tbl>
      <w:tblPr>
        <w:tblStyle w:val="12"/>
        <w:tblW w:w="0" w:type="auto"/>
        <w:jc w:val="center"/>
        <w:tblLayout w:type="fixed"/>
        <w:tblCellMar>
          <w:top w:w="0" w:type="dxa"/>
          <w:left w:w="0" w:type="dxa"/>
          <w:bottom w:w="0" w:type="dxa"/>
          <w:right w:w="0" w:type="dxa"/>
        </w:tblCellMar>
      </w:tblPr>
      <w:tblGrid>
        <w:gridCol w:w="2585"/>
        <w:gridCol w:w="1298"/>
        <w:gridCol w:w="1298"/>
        <w:gridCol w:w="1155"/>
        <w:gridCol w:w="1144"/>
      </w:tblGrid>
      <w:tr>
        <w:tblPrEx>
          <w:tblCellMar>
            <w:top w:w="0" w:type="dxa"/>
            <w:left w:w="0" w:type="dxa"/>
            <w:bottom w:w="0" w:type="dxa"/>
            <w:right w:w="0" w:type="dxa"/>
          </w:tblCellMar>
        </w:tblPrEx>
        <w:trPr>
          <w:trHeight w:val="312" w:hRule="atLeast"/>
          <w:jc w:val="center"/>
        </w:trPr>
        <w:tc>
          <w:tcPr>
            <w:tcW w:w="7480" w:type="dxa"/>
            <w:gridSpan w:val="5"/>
            <w:tcBorders>
              <w:top w:val="single" w:color="auto" w:sz="8" w:space="0"/>
              <w:left w:val="nil"/>
              <w:bottom w:val="nil"/>
              <w:right w:val="nil"/>
            </w:tcBorders>
            <w:shd w:val="clear" w:color="auto" w:fill="C0C0C0"/>
            <w:noWrap w:val="0"/>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lang w:bidi="ar"/>
              </w:rPr>
              <w:t>2019年“三公经费”预决算对比表</w:t>
            </w:r>
          </w:p>
        </w:tc>
      </w:tr>
      <w:tr>
        <w:tblPrEx>
          <w:tblCellMar>
            <w:top w:w="0" w:type="dxa"/>
            <w:left w:w="0" w:type="dxa"/>
            <w:bottom w:w="0" w:type="dxa"/>
            <w:right w:w="0" w:type="dxa"/>
          </w:tblCellMar>
        </w:tblPrEx>
        <w:trPr>
          <w:trHeight w:val="312" w:hRule="atLeast"/>
          <w:jc w:val="center"/>
        </w:trPr>
        <w:tc>
          <w:tcPr>
            <w:tcW w:w="2585" w:type="dxa"/>
            <w:tcBorders>
              <w:top w:val="nil"/>
              <w:left w:val="nil"/>
              <w:bottom w:val="nil"/>
              <w:right w:val="nil"/>
            </w:tcBorders>
            <w:shd w:val="clear" w:color="auto" w:fill="C0C0C0"/>
            <w:noWrap w:val="0"/>
            <w:vAlign w:val="center"/>
          </w:tcPr>
          <w:p>
            <w:pPr>
              <w:widowControl/>
              <w:jc w:val="left"/>
              <w:textAlignment w:val="center"/>
              <w:rPr>
                <w:rFonts w:hint="eastAsia" w:ascii="宋体" w:hAnsi="宋体" w:eastAsia="宋体" w:cs="宋体"/>
                <w:b/>
                <w:sz w:val="24"/>
                <w:szCs w:val="24"/>
              </w:rPr>
            </w:pPr>
            <w:r>
              <w:rPr>
                <w:rFonts w:hint="eastAsia" w:ascii="宋体" w:hAnsi="宋体" w:eastAsia="宋体" w:cs="宋体"/>
                <w:b/>
                <w:kern w:val="0"/>
                <w:sz w:val="24"/>
                <w:szCs w:val="24"/>
                <w:lang w:bidi="ar"/>
              </w:rPr>
              <w:t>　</w:t>
            </w:r>
          </w:p>
        </w:tc>
        <w:tc>
          <w:tcPr>
            <w:tcW w:w="1298" w:type="dxa"/>
            <w:tcBorders>
              <w:top w:val="nil"/>
              <w:left w:val="nil"/>
              <w:bottom w:val="nil"/>
              <w:right w:val="nil"/>
            </w:tcBorders>
            <w:shd w:val="clear" w:color="auto" w:fill="C0C0C0"/>
            <w:noWrap w:val="0"/>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lang w:bidi="ar"/>
              </w:rPr>
              <w:t>　</w:t>
            </w:r>
          </w:p>
        </w:tc>
        <w:tc>
          <w:tcPr>
            <w:tcW w:w="1298" w:type="dxa"/>
            <w:tcBorders>
              <w:top w:val="nil"/>
              <w:left w:val="nil"/>
              <w:bottom w:val="nil"/>
              <w:right w:val="nil"/>
            </w:tcBorders>
            <w:shd w:val="clear" w:color="auto" w:fill="C0C0C0"/>
            <w:noWrap w:val="0"/>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lang w:bidi="ar"/>
              </w:rPr>
              <w:t>　</w:t>
            </w:r>
          </w:p>
        </w:tc>
        <w:tc>
          <w:tcPr>
            <w:tcW w:w="1155" w:type="dxa"/>
            <w:tcBorders>
              <w:top w:val="nil"/>
              <w:left w:val="nil"/>
              <w:bottom w:val="nil"/>
              <w:right w:val="nil"/>
            </w:tcBorders>
            <w:shd w:val="clear" w:color="auto" w:fill="C0C0C0"/>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　</w:t>
            </w:r>
          </w:p>
        </w:tc>
        <w:tc>
          <w:tcPr>
            <w:tcW w:w="1144" w:type="dxa"/>
            <w:tcBorders>
              <w:top w:val="nil"/>
              <w:left w:val="nil"/>
              <w:bottom w:val="nil"/>
              <w:right w:val="nil"/>
            </w:tcBorders>
            <w:shd w:val="clear" w:color="auto" w:fill="C0C0C0"/>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单位：元</w:t>
            </w:r>
          </w:p>
        </w:tc>
      </w:tr>
      <w:tr>
        <w:tblPrEx>
          <w:tblCellMar>
            <w:top w:w="0" w:type="dxa"/>
            <w:left w:w="0" w:type="dxa"/>
            <w:bottom w:w="0" w:type="dxa"/>
            <w:right w:w="0" w:type="dxa"/>
          </w:tblCellMar>
        </w:tblPrEx>
        <w:trPr>
          <w:trHeight w:val="312" w:hRule="atLeast"/>
          <w:jc w:val="center"/>
        </w:trPr>
        <w:tc>
          <w:tcPr>
            <w:tcW w:w="2585" w:type="dxa"/>
            <w:tcBorders>
              <w:top w:val="single" w:color="auto" w:sz="4" w:space="0"/>
              <w:left w:val="single" w:color="auto" w:sz="4" w:space="0"/>
              <w:bottom w:val="single" w:color="auto" w:sz="4" w:space="0"/>
              <w:right w:val="single" w:color="auto" w:sz="4" w:space="0"/>
            </w:tcBorders>
            <w:shd w:val="clear" w:color="auto" w:fill="969696"/>
            <w:noWrap w:val="0"/>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lang w:bidi="ar"/>
              </w:rPr>
              <w:t>项目</w:t>
            </w:r>
          </w:p>
        </w:tc>
        <w:tc>
          <w:tcPr>
            <w:tcW w:w="1298" w:type="dxa"/>
            <w:tcBorders>
              <w:top w:val="single" w:color="auto" w:sz="4" w:space="0"/>
              <w:left w:val="nil"/>
              <w:bottom w:val="single" w:color="auto" w:sz="4" w:space="0"/>
              <w:right w:val="single" w:color="auto" w:sz="4" w:space="0"/>
            </w:tcBorders>
            <w:shd w:val="clear" w:color="auto" w:fill="969696"/>
            <w:noWrap w:val="0"/>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lang w:bidi="ar"/>
              </w:rPr>
              <w:t>预算金额</w:t>
            </w:r>
          </w:p>
        </w:tc>
        <w:tc>
          <w:tcPr>
            <w:tcW w:w="1298" w:type="dxa"/>
            <w:tcBorders>
              <w:top w:val="single" w:color="auto" w:sz="4" w:space="0"/>
              <w:left w:val="nil"/>
              <w:bottom w:val="single" w:color="auto" w:sz="4" w:space="0"/>
              <w:right w:val="nil"/>
            </w:tcBorders>
            <w:shd w:val="clear" w:color="auto" w:fill="969696"/>
            <w:noWrap w:val="0"/>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lang w:bidi="ar"/>
              </w:rPr>
              <w:t>决算金额</w:t>
            </w:r>
          </w:p>
        </w:tc>
        <w:tc>
          <w:tcPr>
            <w:tcW w:w="1155" w:type="dxa"/>
            <w:tcBorders>
              <w:top w:val="single" w:color="auto" w:sz="4" w:space="0"/>
              <w:left w:val="single" w:color="auto" w:sz="4" w:space="0"/>
              <w:bottom w:val="single" w:color="auto" w:sz="4" w:space="0"/>
              <w:right w:val="single" w:color="auto" w:sz="4" w:space="0"/>
            </w:tcBorders>
            <w:shd w:val="clear" w:color="auto" w:fill="969696"/>
            <w:noWrap w:val="0"/>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lang w:bidi="ar"/>
              </w:rPr>
              <w:t>差额</w:t>
            </w:r>
          </w:p>
        </w:tc>
        <w:tc>
          <w:tcPr>
            <w:tcW w:w="1144" w:type="dxa"/>
            <w:tcBorders>
              <w:top w:val="single" w:color="auto" w:sz="4" w:space="0"/>
              <w:left w:val="nil"/>
              <w:bottom w:val="single" w:color="auto" w:sz="4" w:space="0"/>
              <w:right w:val="single" w:color="auto" w:sz="4" w:space="0"/>
            </w:tcBorders>
            <w:shd w:val="clear" w:color="auto" w:fill="969696"/>
            <w:noWrap w:val="0"/>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lang w:bidi="ar"/>
              </w:rPr>
              <w:t>完成率</w:t>
            </w:r>
          </w:p>
        </w:tc>
      </w:tr>
      <w:tr>
        <w:tblPrEx>
          <w:tblCellMar>
            <w:top w:w="0" w:type="dxa"/>
            <w:left w:w="0" w:type="dxa"/>
            <w:bottom w:w="0" w:type="dxa"/>
            <w:right w:w="0" w:type="dxa"/>
          </w:tblCellMar>
        </w:tblPrEx>
        <w:trPr>
          <w:trHeight w:val="312" w:hRule="atLeast"/>
          <w:jc w:val="center"/>
        </w:trPr>
        <w:tc>
          <w:tcPr>
            <w:tcW w:w="2585" w:type="dxa"/>
            <w:tcBorders>
              <w:top w:val="nil"/>
              <w:left w:val="single" w:color="auto" w:sz="4" w:space="0"/>
              <w:bottom w:val="single" w:color="auto" w:sz="4" w:space="0"/>
              <w:right w:val="single" w:color="auto" w:sz="4" w:space="0"/>
            </w:tcBorders>
            <w:shd w:val="clear" w:color="auto" w:fill="C0C0C0"/>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公务接待费</w:t>
            </w:r>
          </w:p>
        </w:tc>
        <w:tc>
          <w:tcPr>
            <w:tcW w:w="1298" w:type="dxa"/>
            <w:tcBorders>
              <w:top w:val="nil"/>
              <w:left w:val="nil"/>
              <w:bottom w:val="single" w:color="auto" w:sz="4" w:space="0"/>
              <w:right w:val="single" w:color="auto" w:sz="4" w:space="0"/>
            </w:tcBorders>
            <w:shd w:val="clear" w:color="auto" w:fill="C0C0C0"/>
            <w:noWrap w:val="0"/>
            <w:vAlign w:val="center"/>
          </w:tcPr>
          <w:p>
            <w:pPr>
              <w:widowControl/>
              <w:jc w:val="righ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 xml:space="preserve">8,027.00 </w:t>
            </w:r>
          </w:p>
        </w:tc>
        <w:tc>
          <w:tcPr>
            <w:tcW w:w="1298" w:type="dxa"/>
            <w:tcBorders>
              <w:top w:val="nil"/>
              <w:left w:val="nil"/>
              <w:bottom w:val="single" w:color="auto" w:sz="4" w:space="0"/>
              <w:right w:val="nil"/>
            </w:tcBorders>
            <w:shd w:val="clear" w:color="auto" w:fill="C0C0C0"/>
            <w:noWrap w:val="0"/>
            <w:vAlign w:val="center"/>
          </w:tcPr>
          <w:p>
            <w:pPr>
              <w:widowControl/>
              <w:jc w:val="righ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 xml:space="preserve">3,200.00 </w:t>
            </w:r>
          </w:p>
        </w:tc>
        <w:tc>
          <w:tcPr>
            <w:tcW w:w="1155" w:type="dxa"/>
            <w:tcBorders>
              <w:top w:val="nil"/>
              <w:left w:val="single" w:color="auto" w:sz="4" w:space="0"/>
              <w:bottom w:val="single" w:color="auto" w:sz="4" w:space="0"/>
              <w:right w:val="single" w:color="auto" w:sz="4" w:space="0"/>
            </w:tcBorders>
            <w:shd w:val="clear" w:color="auto" w:fill="C0C0C0"/>
            <w:noWrap w:val="0"/>
            <w:vAlign w:val="center"/>
          </w:tcPr>
          <w:p>
            <w:pPr>
              <w:widowControl/>
              <w:jc w:val="righ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 xml:space="preserve">4,827.00 </w:t>
            </w:r>
          </w:p>
        </w:tc>
        <w:tc>
          <w:tcPr>
            <w:tcW w:w="1144" w:type="dxa"/>
            <w:tcBorders>
              <w:top w:val="nil"/>
              <w:left w:val="nil"/>
              <w:bottom w:val="single" w:color="auto" w:sz="4" w:space="0"/>
              <w:right w:val="single" w:color="auto" w:sz="4" w:space="0"/>
            </w:tcBorders>
            <w:shd w:val="clear" w:color="auto" w:fill="C0C0C0"/>
            <w:noWrap w:val="0"/>
            <w:vAlign w:val="center"/>
          </w:tcPr>
          <w:p>
            <w:pPr>
              <w:widowControl/>
              <w:jc w:val="righ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39.87%</w:t>
            </w:r>
          </w:p>
        </w:tc>
      </w:tr>
      <w:tr>
        <w:tblPrEx>
          <w:tblCellMar>
            <w:top w:w="0" w:type="dxa"/>
            <w:left w:w="0" w:type="dxa"/>
            <w:bottom w:w="0" w:type="dxa"/>
            <w:right w:w="0" w:type="dxa"/>
          </w:tblCellMar>
        </w:tblPrEx>
        <w:trPr>
          <w:trHeight w:val="312" w:hRule="atLeast"/>
          <w:jc w:val="center"/>
        </w:trPr>
        <w:tc>
          <w:tcPr>
            <w:tcW w:w="2585" w:type="dxa"/>
            <w:tcBorders>
              <w:top w:val="nil"/>
              <w:left w:val="single" w:color="auto" w:sz="4" w:space="0"/>
              <w:bottom w:val="single" w:color="auto" w:sz="4" w:space="0"/>
              <w:right w:val="single" w:color="auto" w:sz="4" w:space="0"/>
            </w:tcBorders>
            <w:shd w:val="clear" w:color="auto" w:fill="C0C0C0"/>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公务用车运行维护费</w:t>
            </w:r>
          </w:p>
        </w:tc>
        <w:tc>
          <w:tcPr>
            <w:tcW w:w="1298" w:type="dxa"/>
            <w:tcBorders>
              <w:top w:val="nil"/>
              <w:left w:val="nil"/>
              <w:bottom w:val="single" w:color="auto" w:sz="4" w:space="0"/>
              <w:right w:val="single" w:color="auto" w:sz="4" w:space="0"/>
            </w:tcBorders>
            <w:shd w:val="clear" w:color="auto" w:fill="C0C0C0"/>
            <w:noWrap w:val="0"/>
            <w:vAlign w:val="center"/>
          </w:tcPr>
          <w:p>
            <w:pPr>
              <w:widowControl/>
              <w:jc w:val="righ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 xml:space="preserve">11,200.00 </w:t>
            </w:r>
          </w:p>
        </w:tc>
        <w:tc>
          <w:tcPr>
            <w:tcW w:w="1298" w:type="dxa"/>
            <w:tcBorders>
              <w:top w:val="nil"/>
              <w:left w:val="nil"/>
              <w:bottom w:val="single" w:color="auto" w:sz="4" w:space="0"/>
              <w:right w:val="nil"/>
            </w:tcBorders>
            <w:shd w:val="clear" w:color="auto" w:fill="C0C0C0"/>
            <w:noWrap w:val="0"/>
            <w:vAlign w:val="center"/>
          </w:tcPr>
          <w:p>
            <w:pPr>
              <w:widowControl/>
              <w:jc w:val="righ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 xml:space="preserve">11,200.00 </w:t>
            </w:r>
          </w:p>
        </w:tc>
        <w:tc>
          <w:tcPr>
            <w:tcW w:w="1155" w:type="dxa"/>
            <w:tcBorders>
              <w:top w:val="nil"/>
              <w:left w:val="single" w:color="auto" w:sz="4" w:space="0"/>
              <w:bottom w:val="single" w:color="auto" w:sz="4" w:space="0"/>
              <w:right w:val="single" w:color="auto" w:sz="4" w:space="0"/>
            </w:tcBorders>
            <w:shd w:val="clear" w:color="auto" w:fill="C0C0C0"/>
            <w:noWrap w:val="0"/>
            <w:vAlign w:val="center"/>
          </w:tcPr>
          <w:p>
            <w:pPr>
              <w:widowControl/>
              <w:jc w:val="righ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 xml:space="preserve">0.00 </w:t>
            </w:r>
          </w:p>
        </w:tc>
        <w:tc>
          <w:tcPr>
            <w:tcW w:w="1144" w:type="dxa"/>
            <w:tcBorders>
              <w:top w:val="nil"/>
              <w:left w:val="nil"/>
              <w:bottom w:val="single" w:color="auto" w:sz="4" w:space="0"/>
              <w:right w:val="single" w:color="auto" w:sz="4" w:space="0"/>
            </w:tcBorders>
            <w:shd w:val="clear" w:color="auto" w:fill="C0C0C0"/>
            <w:noWrap w:val="0"/>
            <w:vAlign w:val="center"/>
          </w:tcPr>
          <w:p>
            <w:pPr>
              <w:widowControl/>
              <w:jc w:val="righ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100.00%</w:t>
            </w:r>
          </w:p>
        </w:tc>
      </w:tr>
      <w:tr>
        <w:tblPrEx>
          <w:tblCellMar>
            <w:top w:w="0" w:type="dxa"/>
            <w:left w:w="0" w:type="dxa"/>
            <w:bottom w:w="0" w:type="dxa"/>
            <w:right w:w="0" w:type="dxa"/>
          </w:tblCellMar>
        </w:tblPrEx>
        <w:trPr>
          <w:trHeight w:val="312" w:hRule="atLeast"/>
          <w:jc w:val="center"/>
        </w:trPr>
        <w:tc>
          <w:tcPr>
            <w:tcW w:w="2585" w:type="dxa"/>
            <w:tcBorders>
              <w:top w:val="nil"/>
              <w:left w:val="single" w:color="auto" w:sz="4" w:space="0"/>
              <w:bottom w:val="nil"/>
              <w:right w:val="single" w:color="auto" w:sz="4" w:space="0"/>
            </w:tcBorders>
            <w:shd w:val="clear" w:color="auto" w:fill="969696"/>
            <w:noWrap w:val="0"/>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因公出国（境）费</w:t>
            </w:r>
          </w:p>
        </w:tc>
        <w:tc>
          <w:tcPr>
            <w:tcW w:w="1298" w:type="dxa"/>
            <w:tcBorders>
              <w:top w:val="nil"/>
              <w:left w:val="nil"/>
              <w:bottom w:val="nil"/>
              <w:right w:val="single" w:color="auto" w:sz="4" w:space="0"/>
            </w:tcBorders>
            <w:shd w:val="clear" w:color="auto" w:fill="969696"/>
            <w:noWrap w:val="0"/>
            <w:vAlign w:val="center"/>
          </w:tcPr>
          <w:p>
            <w:pPr>
              <w:widowControl/>
              <w:jc w:val="righ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 xml:space="preserve">0 </w:t>
            </w:r>
          </w:p>
        </w:tc>
        <w:tc>
          <w:tcPr>
            <w:tcW w:w="1298" w:type="dxa"/>
            <w:tcBorders>
              <w:top w:val="nil"/>
              <w:left w:val="nil"/>
              <w:bottom w:val="nil"/>
              <w:right w:val="single" w:color="auto" w:sz="4" w:space="0"/>
            </w:tcBorders>
            <w:shd w:val="clear" w:color="auto" w:fill="969696"/>
            <w:noWrap w:val="0"/>
            <w:vAlign w:val="center"/>
          </w:tcPr>
          <w:p>
            <w:pPr>
              <w:widowControl/>
              <w:jc w:val="righ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 xml:space="preserve">0 </w:t>
            </w:r>
          </w:p>
        </w:tc>
        <w:tc>
          <w:tcPr>
            <w:tcW w:w="1155" w:type="dxa"/>
            <w:tcBorders>
              <w:top w:val="nil"/>
              <w:left w:val="nil"/>
              <w:bottom w:val="nil"/>
              <w:right w:val="single" w:color="auto" w:sz="4" w:space="0"/>
            </w:tcBorders>
            <w:shd w:val="clear" w:color="auto" w:fill="969696"/>
            <w:noWrap w:val="0"/>
            <w:vAlign w:val="center"/>
          </w:tcPr>
          <w:p>
            <w:pPr>
              <w:widowControl/>
              <w:jc w:val="righ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 xml:space="preserve">0 </w:t>
            </w:r>
          </w:p>
        </w:tc>
        <w:tc>
          <w:tcPr>
            <w:tcW w:w="1144" w:type="dxa"/>
            <w:tcBorders>
              <w:top w:val="nil"/>
              <w:left w:val="nil"/>
              <w:bottom w:val="nil"/>
              <w:right w:val="single" w:color="auto" w:sz="4" w:space="0"/>
            </w:tcBorders>
            <w:shd w:val="clear" w:color="auto" w:fill="969696"/>
            <w:noWrap w:val="0"/>
            <w:vAlign w:val="center"/>
          </w:tcPr>
          <w:p>
            <w:pPr>
              <w:widowControl/>
              <w:jc w:val="righ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0%</w:t>
            </w:r>
          </w:p>
        </w:tc>
      </w:tr>
      <w:tr>
        <w:tblPrEx>
          <w:tblCellMar>
            <w:top w:w="0" w:type="dxa"/>
            <w:left w:w="0" w:type="dxa"/>
            <w:bottom w:w="0" w:type="dxa"/>
            <w:right w:w="0" w:type="dxa"/>
          </w:tblCellMar>
        </w:tblPrEx>
        <w:trPr>
          <w:trHeight w:val="312" w:hRule="atLeast"/>
          <w:jc w:val="center"/>
        </w:trPr>
        <w:tc>
          <w:tcPr>
            <w:tcW w:w="2585" w:type="dxa"/>
            <w:tcBorders>
              <w:top w:val="nil"/>
              <w:left w:val="single" w:color="auto" w:sz="4" w:space="0"/>
              <w:bottom w:val="single" w:color="auto" w:sz="4" w:space="0"/>
              <w:right w:val="single" w:color="auto" w:sz="4" w:space="0"/>
            </w:tcBorders>
            <w:shd w:val="clear" w:color="auto" w:fill="969696"/>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合  计</w:t>
            </w:r>
          </w:p>
        </w:tc>
        <w:tc>
          <w:tcPr>
            <w:tcW w:w="1298" w:type="dxa"/>
            <w:tcBorders>
              <w:top w:val="nil"/>
              <w:left w:val="nil"/>
              <w:bottom w:val="single" w:color="auto" w:sz="4" w:space="0"/>
              <w:right w:val="single" w:color="auto" w:sz="4" w:space="0"/>
            </w:tcBorders>
            <w:shd w:val="clear" w:color="auto" w:fill="969696"/>
            <w:noWrap w:val="0"/>
            <w:vAlign w:val="center"/>
          </w:tcPr>
          <w:p>
            <w:pPr>
              <w:widowControl/>
              <w:jc w:val="righ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 xml:space="preserve">19,227.00 </w:t>
            </w:r>
          </w:p>
        </w:tc>
        <w:tc>
          <w:tcPr>
            <w:tcW w:w="1298" w:type="dxa"/>
            <w:tcBorders>
              <w:top w:val="nil"/>
              <w:left w:val="nil"/>
              <w:bottom w:val="single" w:color="auto" w:sz="4" w:space="0"/>
              <w:right w:val="single" w:color="auto" w:sz="4" w:space="0"/>
            </w:tcBorders>
            <w:shd w:val="clear" w:color="auto" w:fill="969696"/>
            <w:noWrap w:val="0"/>
            <w:vAlign w:val="center"/>
          </w:tcPr>
          <w:p>
            <w:pPr>
              <w:widowControl/>
              <w:jc w:val="righ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 xml:space="preserve">14,400.00 </w:t>
            </w:r>
          </w:p>
        </w:tc>
        <w:tc>
          <w:tcPr>
            <w:tcW w:w="1155" w:type="dxa"/>
            <w:tcBorders>
              <w:top w:val="nil"/>
              <w:left w:val="nil"/>
              <w:bottom w:val="single" w:color="auto" w:sz="4" w:space="0"/>
              <w:right w:val="single" w:color="auto" w:sz="4" w:space="0"/>
            </w:tcBorders>
            <w:shd w:val="clear" w:color="auto" w:fill="969696"/>
            <w:noWrap w:val="0"/>
            <w:vAlign w:val="center"/>
          </w:tcPr>
          <w:p>
            <w:pPr>
              <w:widowControl/>
              <w:jc w:val="righ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 xml:space="preserve">4,827.00 </w:t>
            </w:r>
          </w:p>
        </w:tc>
        <w:tc>
          <w:tcPr>
            <w:tcW w:w="1144" w:type="dxa"/>
            <w:tcBorders>
              <w:top w:val="nil"/>
              <w:left w:val="nil"/>
              <w:bottom w:val="single" w:color="auto" w:sz="4" w:space="0"/>
              <w:right w:val="single" w:color="auto" w:sz="4" w:space="0"/>
            </w:tcBorders>
            <w:shd w:val="clear" w:color="auto" w:fill="969696"/>
            <w:noWrap w:val="0"/>
            <w:vAlign w:val="center"/>
          </w:tcPr>
          <w:p>
            <w:pPr>
              <w:widowControl/>
              <w:jc w:val="righ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74.89%</w:t>
            </w:r>
          </w:p>
        </w:tc>
      </w:tr>
    </w:tbl>
    <w:p>
      <w:pPr>
        <w:widowControl/>
        <w:adjustRightInd w:val="0"/>
        <w:snapToGrid w:val="0"/>
        <w:spacing w:line="480" w:lineRule="exact"/>
        <w:ind w:firstLine="720"/>
        <w:jc w:val="left"/>
        <w:rPr>
          <w:rFonts w:hint="eastAsia" w:ascii="仿宋_GB2312" w:hAnsi="宋体" w:cs="宋体"/>
          <w:color w:val="000000"/>
          <w:kern w:val="0"/>
          <w:lang w:val="zh-CN"/>
        </w:rPr>
      </w:pP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（三）综合管理情况</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包括政府性债务管理、非税收入执收、政策采购实施计划、资产管理、内控制度管理、信息公开、绩效评价及依法接受财政监督情况等。</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1.政府采购实施计划</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本单位严格按照《预算法》的规定，政府采购的实施与部门预算中采购预算一致，且按要求完成采购备案。</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2.资产管理</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截止20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val="zh-CN"/>
        </w:rPr>
        <w:t>月，本单位已完成资产管理信息系统的建设，将全部属于本单位的国有资产纳入资产管理信息系统统一管理。于2016年按州财政局的要求完成本单位资产清理工作，并在2018年底完成清查中发现所有问题的整改工作，彻底使“家底”明晰。于2020年4月完成2019年度行政事业单位国有资产报表的上报工作。</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3.内控制度管理</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本单位建立了较为完善的内控管理管理体系，并在逐步规范执行中。在2019年度行政事业单位内部控制报告中综合得分为中。</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4.信息公开</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本单位按规定，及时公开2019年度部门预算。</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5.绩效评价</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val="zh-CN"/>
        </w:rPr>
        <w:t>年本单位的项目均按要求实行绩效目标管理，每个项目至少设置了3个项目效果特性指标。</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（四）整体绩效。</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本部门较好的履行了与州科学技术局共同承担州内的科研任务，继续履行全州科学技术研究统一管理、统一评价等职能。在2019年州级事业单位绩效考评中获州科技局考核下属事业单位一等奖。</w:t>
      </w:r>
    </w:p>
    <w:p>
      <w:pPr>
        <w:widowControl/>
        <w:adjustRightInd w:val="0"/>
        <w:snapToGrid w:val="0"/>
        <w:spacing w:line="480" w:lineRule="exact"/>
        <w:ind w:firstLine="720"/>
        <w:jc w:val="left"/>
        <w:rPr>
          <w:rFonts w:hint="eastAsia" w:ascii="黑体" w:hAnsi="宋体" w:eastAsia="黑体" w:cs="宋体"/>
          <w:color w:val="000000"/>
          <w:kern w:val="0"/>
          <w:sz w:val="32"/>
          <w:szCs w:val="32"/>
          <w:lang w:val="zh-CN"/>
        </w:rPr>
      </w:pPr>
      <w:r>
        <w:rPr>
          <w:rFonts w:hint="eastAsia" w:ascii="黑体" w:hAnsi="宋体" w:eastAsia="黑体" w:cs="宋体"/>
          <w:color w:val="000000"/>
          <w:kern w:val="0"/>
          <w:sz w:val="32"/>
          <w:szCs w:val="32"/>
          <w:lang w:val="zh-CN"/>
        </w:rPr>
        <w:t>四、评价结论及建议</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（一）评价结论</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参照州级部门支出绩效评价指标体系计算，本单位部门整体支出绩效评价得分是：77.84分。</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（二）存在问题</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是因缺乏工作主动性和预见性，预算执行与预算编制存在差异，项目预算与工作推进不协调，进度较慢。预算编制人员与预算执行人员缺乏沟通，造成预算指标内容与核算内容分离，功能科目与经济科目不清晰。</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二是在预算编制过程编制不够细化，预算执行中没有严格按照预算的口径进行经济事项的铺排、严格控制支出，仍按照以往的经验管理和使用预算资金支出。</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（三）改进措施</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一是督促财务人员加强专业知识学习，提高职业素质和</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业务水平，加强预算编制管理；</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二是注重预算编制的科学性、完整性。即部门预算须遵循量入为出、收支平衡的原则稳妥可靠采取有效的程序和方法合理安排各项资金达到综合预算、不偏不漏。</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是增强法治意识，强化预算执行的严肃性和预算执行管理的重要意义，加强领导，充实必要人员，提高管理水平。加强制度和规范建设，严格遵照执行按预算安排规定的项目和用途使用预算资金，不能突破支出预算并确保专款专用，提高资金使用效益。</w:t>
      </w:r>
    </w:p>
    <w:p>
      <w:pPr>
        <w:widowControl/>
        <w:adjustRightInd w:val="0"/>
        <w:snapToGrid w:val="0"/>
        <w:spacing w:line="480" w:lineRule="exact"/>
        <w:ind w:firstLine="640" w:firstLineChars="200"/>
        <w:jc w:val="left"/>
        <w:rPr>
          <w:rFonts w:hint="eastAsia" w:ascii="仿宋_GB2312" w:hAnsi="仿宋_GB2312" w:eastAsia="仿宋_GB2312" w:cs="仿宋_GB2312"/>
          <w:sz w:val="32"/>
          <w:szCs w:val="32"/>
          <w:lang w:val="zh-CN"/>
        </w:rPr>
      </w:pP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Style w:val="24"/>
          <w:rFonts w:ascii="黑体" w:hAnsi="黑体" w:eastAsia="黑体"/>
          <w:b w:val="0"/>
        </w:rPr>
      </w:pPr>
    </w:p>
    <w:p>
      <w:pPr>
        <w:spacing w:line="600" w:lineRule="exact"/>
        <w:jc w:val="center"/>
        <w:rPr>
          <w:rStyle w:val="24"/>
          <w:rFonts w:ascii="黑体" w:hAnsi="黑体" w:eastAsia="黑体"/>
          <w:b w:val="0"/>
        </w:rPr>
      </w:pPr>
    </w:p>
    <w:p>
      <w:pPr>
        <w:spacing w:line="600" w:lineRule="exact"/>
        <w:jc w:val="center"/>
        <w:rPr>
          <w:rStyle w:val="24"/>
          <w:rFonts w:ascii="黑体" w:hAnsi="黑体" w:eastAsia="黑体"/>
          <w:b w:val="0"/>
        </w:rPr>
      </w:pPr>
    </w:p>
    <w:p>
      <w:pPr>
        <w:spacing w:line="600" w:lineRule="exact"/>
        <w:jc w:val="center"/>
        <w:rPr>
          <w:rStyle w:val="24"/>
          <w:rFonts w:ascii="黑体" w:hAnsi="黑体" w:eastAsia="黑体"/>
          <w:b w:val="0"/>
        </w:rPr>
      </w:pPr>
    </w:p>
    <w:p>
      <w:pPr>
        <w:spacing w:line="600" w:lineRule="exact"/>
        <w:jc w:val="center"/>
        <w:rPr>
          <w:rStyle w:val="24"/>
          <w:rFonts w:ascii="黑体" w:hAnsi="黑体" w:eastAsia="黑体"/>
          <w:b w:val="0"/>
        </w:rPr>
      </w:pPr>
    </w:p>
    <w:p>
      <w:pPr>
        <w:spacing w:line="600" w:lineRule="exact"/>
        <w:jc w:val="center"/>
        <w:rPr>
          <w:rStyle w:val="24"/>
          <w:rFonts w:ascii="黑体" w:hAnsi="黑体" w:eastAsia="黑体"/>
          <w:b w:val="0"/>
        </w:rPr>
      </w:pPr>
    </w:p>
    <w:p>
      <w:pPr>
        <w:spacing w:line="600" w:lineRule="exact"/>
        <w:jc w:val="center"/>
        <w:rPr>
          <w:rStyle w:val="24"/>
          <w:rFonts w:ascii="黑体" w:hAnsi="黑体" w:eastAsia="黑体"/>
          <w:b w:val="0"/>
        </w:rPr>
      </w:pPr>
    </w:p>
    <w:p>
      <w:pPr>
        <w:spacing w:line="600" w:lineRule="exact"/>
        <w:jc w:val="center"/>
        <w:rPr>
          <w:rStyle w:val="24"/>
          <w:rFonts w:ascii="黑体" w:hAnsi="黑体" w:eastAsia="黑体"/>
          <w:b w:val="0"/>
        </w:rPr>
      </w:pPr>
    </w:p>
    <w:p>
      <w:pPr>
        <w:spacing w:line="600" w:lineRule="exact"/>
        <w:jc w:val="center"/>
        <w:rPr>
          <w:rStyle w:val="24"/>
          <w:rFonts w:ascii="黑体" w:hAnsi="黑体" w:eastAsia="黑体"/>
          <w:b w:val="0"/>
        </w:rPr>
      </w:pPr>
    </w:p>
    <w:p>
      <w:pPr>
        <w:spacing w:line="600" w:lineRule="exact"/>
        <w:jc w:val="center"/>
        <w:rPr>
          <w:rStyle w:val="24"/>
          <w:rFonts w:ascii="黑体" w:hAnsi="黑体" w:eastAsia="黑体"/>
          <w:b w:val="0"/>
        </w:rPr>
      </w:pPr>
    </w:p>
    <w:p>
      <w:pPr>
        <w:spacing w:line="600" w:lineRule="exact"/>
        <w:jc w:val="center"/>
        <w:outlineLvl w:val="0"/>
        <w:rPr>
          <w:rStyle w:val="24"/>
          <w:rFonts w:ascii="黑体" w:hAnsi="黑体" w:eastAsia="黑体"/>
          <w:b w:val="0"/>
        </w:rPr>
      </w:pPr>
      <w:bookmarkStart w:id="76" w:name="_Toc16564"/>
      <w:bookmarkStart w:id="77"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72"/>
      <w:bookmarkEnd w:id="76"/>
      <w:bookmarkEnd w:id="77"/>
    </w:p>
    <w:p>
      <w:pPr>
        <w:spacing w:line="600" w:lineRule="exact"/>
        <w:jc w:val="center"/>
        <w:rPr>
          <w:rFonts w:ascii="仿宋" w:hAnsi="仿宋" w:eastAsia="仿宋"/>
          <w:b/>
          <w:color w:val="000000"/>
          <w:sz w:val="44"/>
          <w:szCs w:val="44"/>
        </w:rPr>
      </w:pPr>
    </w:p>
    <w:p>
      <w:pPr>
        <w:pStyle w:val="3"/>
        <w:rPr>
          <w:rStyle w:val="25"/>
          <w:rFonts w:ascii="黑体" w:hAnsi="黑体" w:eastAsia="黑体"/>
          <w:b w:val="0"/>
          <w:bCs w:val="0"/>
        </w:rPr>
      </w:pPr>
      <w:bookmarkStart w:id="78" w:name="_Toc19203"/>
      <w:bookmarkStart w:id="79" w:name="_Toc15396619"/>
      <w:r>
        <w:rPr>
          <w:rStyle w:val="25"/>
          <w:rFonts w:hint="eastAsia" w:ascii="黑体" w:hAnsi="黑体" w:eastAsia="黑体"/>
          <w:b w:val="0"/>
          <w:bCs w:val="0"/>
        </w:rPr>
        <w:t>一、收入支出决算总表</w:t>
      </w:r>
      <w:bookmarkEnd w:id="78"/>
      <w:bookmarkEnd w:id="79"/>
    </w:p>
    <w:p>
      <w:pPr>
        <w:pStyle w:val="3"/>
        <w:rPr>
          <w:rStyle w:val="25"/>
          <w:rFonts w:ascii="黑体" w:hAnsi="黑体" w:eastAsia="黑体"/>
          <w:b w:val="0"/>
          <w:bCs w:val="0"/>
        </w:rPr>
      </w:pPr>
      <w:bookmarkStart w:id="80" w:name="_Toc14397"/>
      <w:bookmarkStart w:id="81" w:name="_Toc15396620"/>
      <w:r>
        <w:rPr>
          <w:rStyle w:val="25"/>
          <w:rFonts w:hint="eastAsia" w:ascii="黑体" w:hAnsi="黑体" w:eastAsia="黑体"/>
          <w:b w:val="0"/>
          <w:bCs w:val="0"/>
        </w:rPr>
        <w:t>二、收入决算表</w:t>
      </w:r>
      <w:bookmarkEnd w:id="80"/>
      <w:bookmarkEnd w:id="81"/>
    </w:p>
    <w:p>
      <w:pPr>
        <w:pStyle w:val="3"/>
        <w:rPr>
          <w:rStyle w:val="25"/>
          <w:rFonts w:ascii="黑体" w:hAnsi="黑体" w:eastAsia="黑体"/>
          <w:b w:val="0"/>
          <w:bCs w:val="0"/>
        </w:rPr>
      </w:pPr>
      <w:bookmarkStart w:id="82" w:name="_Toc12241"/>
      <w:bookmarkStart w:id="83" w:name="_Toc15396621"/>
      <w:r>
        <w:rPr>
          <w:rStyle w:val="25"/>
          <w:rFonts w:hint="eastAsia" w:ascii="黑体" w:hAnsi="黑体" w:eastAsia="黑体"/>
          <w:b w:val="0"/>
          <w:bCs w:val="0"/>
        </w:rPr>
        <w:t>三、支出决算表</w:t>
      </w:r>
      <w:bookmarkEnd w:id="82"/>
      <w:bookmarkEnd w:id="83"/>
    </w:p>
    <w:p>
      <w:pPr>
        <w:pStyle w:val="3"/>
        <w:rPr>
          <w:rStyle w:val="25"/>
          <w:rFonts w:ascii="黑体" w:hAnsi="黑体" w:eastAsia="黑体"/>
          <w:b w:val="0"/>
          <w:bCs w:val="0"/>
        </w:rPr>
      </w:pPr>
      <w:bookmarkStart w:id="84" w:name="_Toc15396622"/>
      <w:bookmarkStart w:id="85" w:name="_Toc8259"/>
      <w:r>
        <w:rPr>
          <w:rStyle w:val="25"/>
          <w:rFonts w:hint="eastAsia" w:ascii="黑体" w:hAnsi="黑体" w:eastAsia="黑体"/>
          <w:b w:val="0"/>
          <w:bCs w:val="0"/>
        </w:rPr>
        <w:t>四、财政拨款收入支出决算总表</w:t>
      </w:r>
      <w:bookmarkEnd w:id="84"/>
      <w:bookmarkEnd w:id="85"/>
    </w:p>
    <w:p>
      <w:pPr>
        <w:pStyle w:val="3"/>
        <w:rPr>
          <w:rStyle w:val="25"/>
          <w:rFonts w:ascii="黑体" w:hAnsi="黑体" w:eastAsia="黑体"/>
          <w:b w:val="0"/>
          <w:bCs w:val="0"/>
        </w:rPr>
      </w:pPr>
      <w:bookmarkStart w:id="86" w:name="_Toc15396623"/>
      <w:bookmarkStart w:id="87" w:name="_Toc19088"/>
      <w:r>
        <w:rPr>
          <w:rStyle w:val="25"/>
          <w:rFonts w:hint="eastAsia" w:ascii="黑体" w:hAnsi="黑体" w:eastAsia="黑体"/>
          <w:b w:val="0"/>
          <w:bCs w:val="0"/>
        </w:rPr>
        <w:t>五、财政拨款支出决算明细表</w:t>
      </w:r>
      <w:bookmarkEnd w:id="86"/>
      <w:bookmarkEnd w:id="87"/>
      <w:bookmarkStart w:id="88" w:name="_Toc15396624"/>
    </w:p>
    <w:p>
      <w:pPr>
        <w:pStyle w:val="3"/>
        <w:rPr>
          <w:rStyle w:val="25"/>
          <w:rFonts w:ascii="黑体" w:hAnsi="黑体" w:eastAsia="黑体"/>
          <w:b w:val="0"/>
          <w:bCs w:val="0"/>
        </w:rPr>
      </w:pPr>
      <w:bookmarkStart w:id="89" w:name="_Toc5420"/>
      <w:r>
        <w:rPr>
          <w:rStyle w:val="25"/>
          <w:rFonts w:hint="eastAsia" w:ascii="黑体" w:hAnsi="黑体" w:eastAsia="黑体"/>
          <w:b w:val="0"/>
          <w:bCs w:val="0"/>
        </w:rPr>
        <w:t>六、一般公共预算财政拨款支出决算表</w:t>
      </w:r>
      <w:bookmarkEnd w:id="88"/>
      <w:bookmarkEnd w:id="89"/>
    </w:p>
    <w:p>
      <w:pPr>
        <w:pStyle w:val="3"/>
        <w:rPr>
          <w:rStyle w:val="25"/>
          <w:rFonts w:ascii="黑体" w:hAnsi="黑体" w:eastAsia="黑体"/>
          <w:b w:val="0"/>
          <w:bCs w:val="0"/>
        </w:rPr>
      </w:pPr>
      <w:bookmarkStart w:id="90" w:name="_Toc15396625"/>
      <w:bookmarkStart w:id="91" w:name="_Toc25470"/>
      <w:r>
        <w:rPr>
          <w:rStyle w:val="25"/>
          <w:rFonts w:hint="eastAsia" w:ascii="黑体" w:hAnsi="黑体" w:eastAsia="黑体"/>
          <w:b w:val="0"/>
          <w:bCs w:val="0"/>
        </w:rPr>
        <w:t>七、一般公共预算财政拨款支出决算明细表</w:t>
      </w:r>
      <w:bookmarkEnd w:id="90"/>
      <w:bookmarkEnd w:id="91"/>
    </w:p>
    <w:p>
      <w:pPr>
        <w:pStyle w:val="3"/>
        <w:rPr>
          <w:rStyle w:val="25"/>
          <w:rFonts w:ascii="黑体" w:hAnsi="黑体" w:eastAsia="黑体"/>
          <w:b w:val="0"/>
          <w:bCs w:val="0"/>
        </w:rPr>
      </w:pPr>
      <w:bookmarkStart w:id="92" w:name="_Toc3587"/>
      <w:bookmarkStart w:id="93" w:name="_Toc15396626"/>
      <w:r>
        <w:rPr>
          <w:rStyle w:val="25"/>
          <w:rFonts w:hint="eastAsia" w:ascii="黑体" w:hAnsi="黑体" w:eastAsia="黑体"/>
          <w:b w:val="0"/>
          <w:bCs w:val="0"/>
        </w:rPr>
        <w:t>八、一般公共预算财政拨款基本支出决算表</w:t>
      </w:r>
      <w:bookmarkEnd w:id="92"/>
      <w:bookmarkEnd w:id="93"/>
    </w:p>
    <w:p>
      <w:pPr>
        <w:pStyle w:val="3"/>
        <w:rPr>
          <w:rStyle w:val="25"/>
          <w:rFonts w:ascii="黑体" w:hAnsi="黑体" w:eastAsia="黑体"/>
          <w:b w:val="0"/>
          <w:bCs w:val="0"/>
        </w:rPr>
      </w:pPr>
      <w:bookmarkStart w:id="94" w:name="_Toc15396627"/>
      <w:bookmarkStart w:id="95" w:name="_Toc11828"/>
      <w:r>
        <w:rPr>
          <w:rStyle w:val="25"/>
          <w:rFonts w:hint="eastAsia" w:ascii="黑体" w:hAnsi="黑体" w:eastAsia="黑体"/>
          <w:b w:val="0"/>
          <w:bCs w:val="0"/>
        </w:rPr>
        <w:t>九、一般公共预算财政拨款项目支出决算表</w:t>
      </w:r>
      <w:bookmarkEnd w:id="94"/>
      <w:bookmarkEnd w:id="95"/>
    </w:p>
    <w:p>
      <w:pPr>
        <w:pStyle w:val="3"/>
        <w:rPr>
          <w:rStyle w:val="25"/>
          <w:rFonts w:ascii="黑体" w:hAnsi="黑体" w:eastAsia="黑体"/>
          <w:b w:val="0"/>
          <w:bCs w:val="0"/>
        </w:rPr>
      </w:pPr>
      <w:bookmarkStart w:id="96" w:name="_Toc15396628"/>
      <w:bookmarkStart w:id="97" w:name="_Toc3534"/>
      <w:r>
        <w:rPr>
          <w:rStyle w:val="25"/>
          <w:rFonts w:hint="eastAsia" w:ascii="黑体" w:hAnsi="黑体" w:eastAsia="黑体"/>
          <w:b w:val="0"/>
          <w:bCs w:val="0"/>
        </w:rPr>
        <w:t>十、一般公共预算财政拨款“三公”经费支出决算表</w:t>
      </w:r>
      <w:bookmarkEnd w:id="96"/>
      <w:bookmarkEnd w:id="97"/>
    </w:p>
    <w:p>
      <w:pPr>
        <w:pStyle w:val="3"/>
        <w:rPr>
          <w:rStyle w:val="25"/>
          <w:rFonts w:ascii="黑体" w:hAnsi="黑体" w:eastAsia="黑体"/>
          <w:b w:val="0"/>
          <w:bCs w:val="0"/>
        </w:rPr>
      </w:pPr>
      <w:bookmarkStart w:id="98" w:name="_Toc15396629"/>
      <w:bookmarkStart w:id="99" w:name="_Toc4139"/>
      <w:r>
        <w:rPr>
          <w:rStyle w:val="25"/>
          <w:rFonts w:hint="eastAsia" w:ascii="黑体" w:hAnsi="黑体" w:eastAsia="黑体"/>
          <w:b w:val="0"/>
          <w:bCs w:val="0"/>
        </w:rPr>
        <w:t>十一、政府性基金预算财政拨款收入支出决算表</w:t>
      </w:r>
      <w:bookmarkEnd w:id="98"/>
      <w:bookmarkEnd w:id="99"/>
    </w:p>
    <w:p>
      <w:pPr>
        <w:pStyle w:val="3"/>
        <w:rPr>
          <w:rStyle w:val="25"/>
          <w:rFonts w:ascii="黑体" w:hAnsi="黑体" w:eastAsia="黑体"/>
          <w:b w:val="0"/>
          <w:bCs w:val="0"/>
        </w:rPr>
      </w:pPr>
      <w:bookmarkStart w:id="100" w:name="_Toc15396630"/>
      <w:bookmarkStart w:id="101" w:name="_Toc16520"/>
      <w:r>
        <w:rPr>
          <w:rStyle w:val="25"/>
          <w:rFonts w:hint="eastAsia" w:ascii="黑体" w:hAnsi="黑体" w:eastAsia="黑体"/>
          <w:b w:val="0"/>
          <w:bCs w:val="0"/>
        </w:rPr>
        <w:t>十二、政府性基金预算财政拨款“三公”经费支出决算表</w:t>
      </w:r>
      <w:bookmarkEnd w:id="100"/>
      <w:bookmarkEnd w:id="101"/>
    </w:p>
    <w:p>
      <w:pPr>
        <w:pStyle w:val="3"/>
        <w:rPr>
          <w:rStyle w:val="25"/>
          <w:rFonts w:ascii="黑体" w:hAnsi="黑体" w:eastAsia="黑体"/>
          <w:b w:val="0"/>
          <w:bCs w:val="0"/>
        </w:rPr>
      </w:pPr>
      <w:bookmarkStart w:id="102" w:name="_Toc15396631"/>
      <w:bookmarkStart w:id="103" w:name="_Toc30794"/>
      <w:r>
        <w:rPr>
          <w:rStyle w:val="25"/>
          <w:rFonts w:hint="eastAsia" w:ascii="黑体" w:hAnsi="黑体" w:eastAsia="黑体"/>
          <w:b w:val="0"/>
          <w:bCs w:val="0"/>
        </w:rPr>
        <w:t>十三、国有资本经营预算支出决算表</w:t>
      </w:r>
      <w:bookmarkEnd w:id="102"/>
      <w:bookmarkEnd w:id="10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auto"/>
    <w:pitch w:val="default"/>
    <w:sig w:usb0="00000000" w:usb1="00000000" w:usb2="00000000" w:usb3="00000000" w:csb0="00040000" w:csb1="00000000"/>
  </w:font>
  <w:font w:name="Sun-ExtA">
    <w:altName w:val="Dotum"/>
    <w:panose1 w:val="00000000000000000000"/>
    <w:charset w:val="81"/>
    <w:family w:val="auto"/>
    <w:pitch w:val="default"/>
    <w:sig w:usb0="00000000" w:usb1="00000000" w:usb2="00000010" w:usb3="00000000" w:csb0="0008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E1B931"/>
    <w:multiLevelType w:val="singleLevel"/>
    <w:tmpl w:val="ABE1B931"/>
    <w:lvl w:ilvl="0" w:tentative="0">
      <w:start w:val="2"/>
      <w:numFmt w:val="chineseCounting"/>
      <w:suff w:val="nothing"/>
      <w:lvlText w:val="（%1）"/>
      <w:lvlJc w:val="left"/>
      <w:rPr>
        <w:rFonts w:hint="eastAsia"/>
      </w:rPr>
    </w:lvl>
  </w:abstractNum>
  <w:abstractNum w:abstractNumId="1">
    <w:nsid w:val="C8BB84C9"/>
    <w:multiLevelType w:val="singleLevel"/>
    <w:tmpl w:val="C8BB84C9"/>
    <w:lvl w:ilvl="0" w:tentative="0">
      <w:start w:val="2"/>
      <w:numFmt w:val="decimal"/>
      <w:suff w:val="nothing"/>
      <w:lvlText w:val="（%1）"/>
      <w:lvlJc w:val="left"/>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F69FB42A"/>
    <w:multiLevelType w:val="singleLevel"/>
    <w:tmpl w:val="F69FB42A"/>
    <w:lvl w:ilvl="0" w:tentative="0">
      <w:start w:val="1"/>
      <w:numFmt w:val="decimal"/>
      <w:lvlText w:val="%1."/>
      <w:lvlJc w:val="left"/>
      <w:pPr>
        <w:tabs>
          <w:tab w:val="left" w:pos="312"/>
        </w:tabs>
      </w:p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2A27"/>
    <w:rsid w:val="00174518"/>
    <w:rsid w:val="0018106D"/>
    <w:rsid w:val="001877A7"/>
    <w:rsid w:val="00191536"/>
    <w:rsid w:val="00196687"/>
    <w:rsid w:val="001A4314"/>
    <w:rsid w:val="001B44DF"/>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C4D5B"/>
    <w:rsid w:val="004E0A2D"/>
    <w:rsid w:val="004E206B"/>
    <w:rsid w:val="004E6DF7"/>
    <w:rsid w:val="004F0FBD"/>
    <w:rsid w:val="004F403E"/>
    <w:rsid w:val="00505A47"/>
    <w:rsid w:val="00512FDA"/>
    <w:rsid w:val="00520DA0"/>
    <w:rsid w:val="005274B7"/>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273F0"/>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4936"/>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2420"/>
    <w:rsid w:val="00F1361C"/>
    <w:rsid w:val="00F156F0"/>
    <w:rsid w:val="00F160C7"/>
    <w:rsid w:val="00F2408F"/>
    <w:rsid w:val="00F240E9"/>
    <w:rsid w:val="00F36D8F"/>
    <w:rsid w:val="00F417B1"/>
    <w:rsid w:val="00F45853"/>
    <w:rsid w:val="00F56C0C"/>
    <w:rsid w:val="00F602DF"/>
    <w:rsid w:val="00F754A1"/>
    <w:rsid w:val="00F81FD9"/>
    <w:rsid w:val="00F841AA"/>
    <w:rsid w:val="00F84A94"/>
    <w:rsid w:val="00F87E96"/>
    <w:rsid w:val="00FA23E8"/>
    <w:rsid w:val="00FD3CC1"/>
    <w:rsid w:val="00FF1E02"/>
    <w:rsid w:val="00FF30B4"/>
    <w:rsid w:val="01421024"/>
    <w:rsid w:val="062075B8"/>
    <w:rsid w:val="06DF1CA7"/>
    <w:rsid w:val="070721CA"/>
    <w:rsid w:val="096A6EA8"/>
    <w:rsid w:val="09711E58"/>
    <w:rsid w:val="0AF73088"/>
    <w:rsid w:val="0C442726"/>
    <w:rsid w:val="0D164E30"/>
    <w:rsid w:val="0EE22087"/>
    <w:rsid w:val="0F024BFE"/>
    <w:rsid w:val="0FBF0FBF"/>
    <w:rsid w:val="0FF2420C"/>
    <w:rsid w:val="10C055FF"/>
    <w:rsid w:val="14AA3396"/>
    <w:rsid w:val="153C2397"/>
    <w:rsid w:val="164830D9"/>
    <w:rsid w:val="16880AAE"/>
    <w:rsid w:val="169D094E"/>
    <w:rsid w:val="16BB723D"/>
    <w:rsid w:val="19EF03B9"/>
    <w:rsid w:val="202A6AFB"/>
    <w:rsid w:val="202C16D8"/>
    <w:rsid w:val="212666CD"/>
    <w:rsid w:val="223969B8"/>
    <w:rsid w:val="22755C7E"/>
    <w:rsid w:val="229F56D7"/>
    <w:rsid w:val="22AB11B4"/>
    <w:rsid w:val="240371BF"/>
    <w:rsid w:val="27747393"/>
    <w:rsid w:val="29FD04D3"/>
    <w:rsid w:val="2B722102"/>
    <w:rsid w:val="2C343426"/>
    <w:rsid w:val="2C991F83"/>
    <w:rsid w:val="2D8B680B"/>
    <w:rsid w:val="2F400C9C"/>
    <w:rsid w:val="31092F1A"/>
    <w:rsid w:val="319F7F4E"/>
    <w:rsid w:val="329A53DE"/>
    <w:rsid w:val="34433C60"/>
    <w:rsid w:val="35185AD9"/>
    <w:rsid w:val="35EF54C8"/>
    <w:rsid w:val="363E0470"/>
    <w:rsid w:val="37D84042"/>
    <w:rsid w:val="38967263"/>
    <w:rsid w:val="38A7764F"/>
    <w:rsid w:val="3A03445A"/>
    <w:rsid w:val="3AED698E"/>
    <w:rsid w:val="3D1D38E7"/>
    <w:rsid w:val="3E4801C9"/>
    <w:rsid w:val="3F965FDD"/>
    <w:rsid w:val="413C1F95"/>
    <w:rsid w:val="41446ABF"/>
    <w:rsid w:val="42762064"/>
    <w:rsid w:val="42BE156C"/>
    <w:rsid w:val="440F13CA"/>
    <w:rsid w:val="479F35EC"/>
    <w:rsid w:val="48E665A7"/>
    <w:rsid w:val="49A35B96"/>
    <w:rsid w:val="49FC4ACE"/>
    <w:rsid w:val="4A426CB6"/>
    <w:rsid w:val="4B65709B"/>
    <w:rsid w:val="4DAB4BE8"/>
    <w:rsid w:val="4E541F14"/>
    <w:rsid w:val="4ECE2238"/>
    <w:rsid w:val="4F0C0F2E"/>
    <w:rsid w:val="52CB0FFD"/>
    <w:rsid w:val="53196691"/>
    <w:rsid w:val="53510ED8"/>
    <w:rsid w:val="562678C9"/>
    <w:rsid w:val="568A465E"/>
    <w:rsid w:val="56D70F26"/>
    <w:rsid w:val="570127D6"/>
    <w:rsid w:val="58863224"/>
    <w:rsid w:val="5AEF575D"/>
    <w:rsid w:val="5E1E7EDD"/>
    <w:rsid w:val="5F1751BE"/>
    <w:rsid w:val="61870C4F"/>
    <w:rsid w:val="61A0088A"/>
    <w:rsid w:val="64DE3D59"/>
    <w:rsid w:val="663A37D4"/>
    <w:rsid w:val="67310295"/>
    <w:rsid w:val="6AA16779"/>
    <w:rsid w:val="6AEB1AD0"/>
    <w:rsid w:val="6C747619"/>
    <w:rsid w:val="6C9232F4"/>
    <w:rsid w:val="6CE5157E"/>
    <w:rsid w:val="6D33628E"/>
    <w:rsid w:val="6DAC18AB"/>
    <w:rsid w:val="6DFD4FE3"/>
    <w:rsid w:val="6F15279D"/>
    <w:rsid w:val="70251C63"/>
    <w:rsid w:val="70D20F3E"/>
    <w:rsid w:val="712F498F"/>
    <w:rsid w:val="72624FFC"/>
    <w:rsid w:val="72734D90"/>
    <w:rsid w:val="7684000B"/>
    <w:rsid w:val="77CB6705"/>
    <w:rsid w:val="79A96717"/>
    <w:rsid w:val="7ABE431C"/>
    <w:rsid w:val="7AE15456"/>
    <w:rsid w:val="7C740720"/>
    <w:rsid w:val="7CBE1D1D"/>
    <w:rsid w:val="7DF16FBC"/>
    <w:rsid w:val="7E0B43CF"/>
    <w:rsid w:val="7E8557EA"/>
    <w:rsid w:val="7E922B0C"/>
    <w:rsid w:val="7FFD5BD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WPSOffice手动目录 1"/>
    <w:qFormat/>
    <w:uiPriority w:val="0"/>
    <w:rPr>
      <w:rFonts w:ascii="Times New Roman" w:hAnsi="Times New Roman" w:eastAsia="宋体" w:cs="Times New Roman"/>
      <w:lang w:val="en-US" w:eastAsia="zh-CN" w:bidi="ar-SA"/>
    </w:rPr>
  </w:style>
  <w:style w:type="paragraph" w:customStyle="1" w:styleId="3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2">
    <w:name w:val="正文文本1"/>
    <w:basedOn w:val="1"/>
    <w:qFormat/>
    <w:uiPriority w:val="0"/>
    <w:pPr>
      <w:spacing w:before="93"/>
    </w:pPr>
    <w:rPr>
      <w:rFonts w:ascii="仿宋_GB2312" w:hAnsi="仿宋_GB2312" w:eastAsia="仿宋_GB2312"/>
      <w:kern w:val="0"/>
      <w:sz w:val="3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3E9A42-6725-4B54-8806-81E082FBB1A0}">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33</Pages>
  <Words>11602</Words>
  <Characters>3362</Characters>
  <Lines>28</Lines>
  <Paragraphs>29</Paragraphs>
  <TotalTime>25</TotalTime>
  <ScaleCrop>false</ScaleCrop>
  <LinksUpToDate>false</LinksUpToDate>
  <CharactersWithSpaces>14935</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2020-09-15T07:53:00Z</dcterms:created>
  <dc:creator>曹颖</dc:creator>
  <cp:lastModifiedBy>Administrator</cp:lastModifiedBy>
  <cp:lastPrinted>2020-07-23T02:58:00Z</cp:lastPrinted>
  <dcterms:modified xsi:type="dcterms:W3CDTF">2020-09-28T01:43:06Z</dcterms:modified>
  <dc:title>四川省***</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